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898BF">
      <w:pPr>
        <w:widowControl/>
        <w:spacing w:line="180" w:lineRule="atLeast"/>
        <w:rPr>
          <w:rFonts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3688715</wp:posOffset>
                </wp:positionH>
                <wp:positionV relativeFrom="paragraph">
                  <wp:posOffset>6985</wp:posOffset>
                </wp:positionV>
                <wp:extent cx="1554480" cy="439420"/>
                <wp:effectExtent l="4445" t="4445" r="22225" b="13335"/>
                <wp:wrapNone/>
                <wp:docPr id="10" name="文本框 10"/>
                <wp:cNvGraphicFramePr/>
                <a:graphic xmlns:a="http://schemas.openxmlformats.org/drawingml/2006/main">
                  <a:graphicData uri="http://schemas.microsoft.com/office/word/2010/wordprocessingShape">
                    <wps:wsp>
                      <wps:cNvSpPr txBox="1"/>
                      <wps:spPr>
                        <a:xfrm>
                          <a:off x="0" y="0"/>
                          <a:ext cx="1554480" cy="439420"/>
                        </a:xfrm>
                        <a:prstGeom prst="rect">
                          <a:avLst/>
                        </a:prstGeom>
                        <a:solidFill>
                          <a:srgbClr val="FFFFFF"/>
                        </a:solidFill>
                        <a:ln w="6350">
                          <a:solidFill>
                            <a:prstClr val="black"/>
                          </a:solidFill>
                        </a:ln>
                        <a:effectLst/>
                      </wps:spPr>
                      <wps:txbx>
                        <w:txbxContent>
                          <w:p w14:paraId="01D8B807">
                            <w:pPr>
                              <w:jc w:val="center"/>
                              <w:rPr>
                                <w:b/>
                                <w:bCs/>
                                <w:sz w:val="28"/>
                                <w:szCs w:val="28"/>
                              </w:rPr>
                            </w:pPr>
                            <w:r>
                              <w:rPr>
                                <w:rFonts w:hint="eastAsia"/>
                                <w:b/>
                                <w:bCs/>
                                <w:sz w:val="28"/>
                                <w:szCs w:val="28"/>
                              </w:rPr>
                              <w:t>政府采购项目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45pt;margin-top:0.55pt;height:34.6pt;width:122.4pt;z-index:251659264;mso-width-relative:page;mso-height-relative:page;" fillcolor="#FFFFFF" filled="t" stroked="t" coordsize="21600,21600" o:gfxdata="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e&#10;Ue9W1QAAAAgBAAAPAAAAAAAAAAEAIAAAACIAAABkcnMvZG93bnJldi54bWxQSwECFAAUAAAACACH&#10;TuJAjgUITmACAADHBAAADgAAAAAAAAABACAAAAAkAQAAZHJzL2Uyb0RvYy54bWxQSwUGAAAAAAYA&#10;BgBZAQAA9gUAAAAA&#10;">
                <v:fill on="t" focussize="0,0"/>
                <v:stroke weight="0.5pt" color="#000000" joinstyle="round"/>
                <v:imagedata o:title=""/>
                <o:lock v:ext="edit" aspectratio="f"/>
                <v:textbox>
                  <w:txbxContent>
                    <w:p w14:paraId="01D8B807">
                      <w:pPr>
                        <w:jc w:val="center"/>
                        <w:rPr>
                          <w:b/>
                          <w:bCs/>
                          <w:sz w:val="28"/>
                          <w:szCs w:val="28"/>
                        </w:rPr>
                      </w:pPr>
                      <w:r>
                        <w:rPr>
                          <w:rFonts w:hint="eastAsia"/>
                          <w:b/>
                          <w:bCs/>
                          <w:sz w:val="28"/>
                          <w:szCs w:val="28"/>
                        </w:rPr>
                        <w:t>政府采购项目</w:t>
                      </w:r>
                    </w:p>
                  </w:txbxContent>
                </v:textbox>
              </v:shape>
            </w:pict>
          </mc:Fallback>
        </mc:AlternateContent>
      </w:r>
    </w:p>
    <w:p w14:paraId="4B334440">
      <w:pPr>
        <w:widowControl/>
        <w:spacing w:line="180" w:lineRule="atLeast"/>
        <w:rPr>
          <w:rFonts w:ascii="宋体" w:hAnsi="宋体" w:eastAsia="宋体" w:cs="宋体"/>
          <w:highlight w:val="none"/>
        </w:rPr>
      </w:pPr>
    </w:p>
    <w:p w14:paraId="3128F09E">
      <w:pPr>
        <w:widowControl/>
        <w:spacing w:line="180" w:lineRule="atLeast"/>
        <w:rPr>
          <w:rFonts w:hint="default" w:ascii="宋体" w:hAnsi="宋体" w:eastAsia="宋体" w:cs="宋体"/>
          <w:b/>
          <w:kern w:val="0"/>
          <w:sz w:val="32"/>
          <w:szCs w:val="28"/>
          <w:highlight w:val="none"/>
          <w:lang w:val="en-US" w:eastAsia="zh-CN"/>
        </w:rPr>
      </w:pPr>
      <w:r>
        <w:rPr>
          <w:rFonts w:hint="eastAsia" w:ascii="宋体" w:hAnsi="宋体" w:eastAsia="宋体" w:cs="宋体"/>
          <w:b/>
          <w:kern w:val="0"/>
          <w:sz w:val="32"/>
          <w:szCs w:val="28"/>
          <w:highlight w:val="none"/>
        </w:rPr>
        <w:t>项目编号：</w:t>
      </w:r>
      <w:r>
        <w:rPr>
          <w:rFonts w:hint="eastAsia" w:ascii="宋体" w:hAnsi="宋体" w:eastAsia="宋体" w:cs="宋体"/>
          <w:b/>
          <w:kern w:val="0"/>
          <w:sz w:val="32"/>
          <w:szCs w:val="28"/>
          <w:highlight w:val="none"/>
          <w:lang w:eastAsia="zh-CN"/>
        </w:rPr>
        <w:t>HDZX2026（010）CG</w:t>
      </w:r>
    </w:p>
    <w:p w14:paraId="12DD7E77">
      <w:pPr>
        <w:numPr>
          <w:ilvl w:val="3"/>
          <w:numId w:val="0"/>
        </w:numPr>
        <w:rPr>
          <w:rFonts w:ascii="宋体" w:hAnsi="宋体" w:eastAsia="宋体" w:cs="宋体"/>
          <w:highlight w:val="none"/>
        </w:rPr>
      </w:pPr>
    </w:p>
    <w:p w14:paraId="34BD1283">
      <w:pPr>
        <w:rPr>
          <w:rFonts w:ascii="宋体" w:hAnsi="宋体" w:eastAsia="宋体" w:cs="宋体"/>
          <w:highlight w:val="none"/>
        </w:rPr>
      </w:pPr>
    </w:p>
    <w:p w14:paraId="5CDC8DB3">
      <w:pPr>
        <w:jc w:val="center"/>
        <w:rPr>
          <w:rFonts w:ascii="宋体" w:hAnsi="宋体" w:eastAsia="宋体" w:cs="宋体"/>
          <w:b/>
          <w:bCs/>
          <w:kern w:val="0"/>
          <w:sz w:val="40"/>
          <w:szCs w:val="40"/>
          <w:highlight w:val="none"/>
          <w:shd w:val="clear" w:color="auto" w:fill="FFFFFF"/>
          <w:lang w:bidi="ar"/>
        </w:rPr>
      </w:pPr>
    </w:p>
    <w:p w14:paraId="639251E0">
      <w:pPr>
        <w:pStyle w:val="36"/>
        <w:ind w:firstLine="0" w:firstLineChars="0"/>
        <w:jc w:val="center"/>
        <w:rPr>
          <w:rFonts w:ascii="宋体" w:hAnsi="宋体" w:eastAsia="宋体" w:cs="宋体"/>
          <w:sz w:val="48"/>
          <w:szCs w:val="48"/>
          <w:highlight w:val="none"/>
        </w:rPr>
      </w:pPr>
      <w:r>
        <w:rPr>
          <w:rFonts w:hint="eastAsia" w:ascii="宋体" w:hAnsi="宋体" w:eastAsia="宋体" w:cs="宋体"/>
          <w:b/>
          <w:bCs/>
          <w:kern w:val="0"/>
          <w:sz w:val="48"/>
          <w:szCs w:val="48"/>
          <w:highlight w:val="none"/>
          <w:shd w:val="clear" w:color="auto" w:fill="FFFFFF"/>
          <w:lang w:eastAsia="zh-CN" w:bidi="ar"/>
        </w:rPr>
        <w:t>千阳县2026年度取水口监测计量项目</w:t>
      </w:r>
    </w:p>
    <w:p w14:paraId="39B6EACC">
      <w:pPr>
        <w:pStyle w:val="36"/>
        <w:spacing w:line="360" w:lineRule="auto"/>
        <w:ind w:firstLine="0" w:firstLineChars="0"/>
        <w:jc w:val="center"/>
        <w:rPr>
          <w:rFonts w:ascii="宋体" w:hAnsi="宋体" w:eastAsia="宋体" w:cs="宋体"/>
          <w:b/>
          <w:bCs/>
          <w:sz w:val="52"/>
          <w:szCs w:val="36"/>
          <w:highlight w:val="none"/>
        </w:rPr>
      </w:pPr>
    </w:p>
    <w:p w14:paraId="34EB3B55">
      <w:pPr>
        <w:pStyle w:val="36"/>
        <w:spacing w:line="360" w:lineRule="auto"/>
        <w:ind w:firstLine="0" w:firstLineChars="0"/>
        <w:jc w:val="center"/>
        <w:rPr>
          <w:rFonts w:ascii="宋体" w:hAnsi="宋体" w:eastAsia="宋体" w:cs="宋体"/>
          <w:b/>
          <w:bCs/>
          <w:sz w:val="52"/>
          <w:szCs w:val="36"/>
          <w:highlight w:val="none"/>
        </w:rPr>
      </w:pPr>
      <w:r>
        <w:rPr>
          <w:rFonts w:hint="eastAsia" w:ascii="宋体" w:hAnsi="宋体" w:eastAsia="宋体" w:cs="宋体"/>
          <w:b/>
          <w:bCs/>
          <w:sz w:val="52"/>
          <w:szCs w:val="36"/>
          <w:highlight w:val="none"/>
        </w:rPr>
        <w:t>竞争性磋商文件</w:t>
      </w:r>
    </w:p>
    <w:p w14:paraId="25A38880">
      <w:pPr>
        <w:jc w:val="center"/>
        <w:rPr>
          <w:rFonts w:hint="eastAsia" w:ascii="宋体" w:hAnsi="宋体" w:eastAsia="宋体" w:cs="宋体"/>
          <w:b/>
          <w:bCs/>
          <w:sz w:val="28"/>
          <w:szCs w:val="28"/>
          <w:highlight w:val="none"/>
          <w:lang w:val="en-US" w:eastAsia="zh-CN"/>
        </w:rPr>
      </w:pPr>
    </w:p>
    <w:p w14:paraId="729C1F43">
      <w:pPr>
        <w:jc w:val="center"/>
        <w:rPr>
          <w:rFonts w:hint="eastAsia" w:ascii="宋体" w:hAnsi="宋体" w:eastAsia="宋体" w:cs="宋体"/>
          <w:b/>
          <w:bCs/>
          <w:sz w:val="28"/>
          <w:szCs w:val="28"/>
          <w:highlight w:val="none"/>
          <w:lang w:val="en-US" w:eastAsia="zh-CN"/>
        </w:rPr>
      </w:pPr>
    </w:p>
    <w:p w14:paraId="03D0ACD9">
      <w:pPr>
        <w:jc w:val="center"/>
        <w:rPr>
          <w:rFonts w:hint="eastAsia" w:ascii="宋体" w:hAnsi="宋体" w:eastAsia="宋体" w:cs="宋体"/>
          <w:b/>
          <w:bCs/>
          <w:sz w:val="28"/>
          <w:szCs w:val="28"/>
          <w:highlight w:val="none"/>
          <w:lang w:val="en-US" w:eastAsia="zh-CN"/>
        </w:rPr>
      </w:pPr>
    </w:p>
    <w:p w14:paraId="10FF9B62">
      <w:pPr>
        <w:spacing w:line="720" w:lineRule="auto"/>
        <w:jc w:val="both"/>
        <w:rPr>
          <w:rFonts w:hint="eastAsia" w:asciiTheme="minorEastAsia" w:hAnsiTheme="minorEastAsia" w:cstheme="minorEastAsia"/>
          <w:b/>
          <w:bCs/>
          <w:color w:val="000000" w:themeColor="text1"/>
          <w:sz w:val="28"/>
          <w:szCs w:val="28"/>
          <w:lang w:val="en-US" w:eastAsia="zh-CN"/>
          <w14:textFill>
            <w14:solidFill>
              <w14:schemeClr w14:val="tx1"/>
            </w14:solidFill>
          </w14:textFill>
        </w:rPr>
      </w:pPr>
    </w:p>
    <w:p w14:paraId="53CFD718">
      <w:pPr>
        <w:spacing w:line="720" w:lineRule="auto"/>
        <w:jc w:val="both"/>
        <w:rPr>
          <w:rFonts w:hint="eastAsia" w:asciiTheme="minorEastAsia" w:hAnsiTheme="minorEastAsia" w:cstheme="minorEastAsia"/>
          <w:b/>
          <w:bCs/>
          <w:color w:val="000000" w:themeColor="text1"/>
          <w:sz w:val="28"/>
          <w:szCs w:val="28"/>
          <w:lang w:val="en-US" w:eastAsia="zh-CN"/>
          <w14:textFill>
            <w14:solidFill>
              <w14:schemeClr w14:val="tx1"/>
            </w14:solidFill>
          </w14:textFill>
        </w:rPr>
      </w:pPr>
    </w:p>
    <w:p w14:paraId="580533D1">
      <w:pPr>
        <w:jc w:val="center"/>
      </w:pPr>
      <w:bookmarkStart w:id="0" w:name="_Toc26093"/>
      <w:bookmarkStart w:id="1" w:name="_Toc129703220"/>
      <w:bookmarkStart w:id="2" w:name="_Toc31986"/>
      <w:r>
        <w:drawing>
          <wp:inline distT="0" distB="0" distL="114300" distR="114300">
            <wp:extent cx="5395595" cy="243967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rcRect b="24637"/>
                    <a:stretch>
                      <a:fillRect/>
                    </a:stretch>
                  </pic:blipFill>
                  <pic:spPr>
                    <a:xfrm>
                      <a:off x="0" y="0"/>
                      <a:ext cx="5395595" cy="2439670"/>
                    </a:xfrm>
                    <a:prstGeom prst="rect">
                      <a:avLst/>
                    </a:prstGeom>
                    <a:noFill/>
                    <a:ln>
                      <a:noFill/>
                    </a:ln>
                  </pic:spPr>
                </pic:pic>
              </a:graphicData>
            </a:graphic>
          </wp:inline>
        </w:drawing>
      </w:r>
    </w:p>
    <w:p w14:paraId="4F59CF4D">
      <w:pPr>
        <w:jc w:val="center"/>
      </w:pPr>
    </w:p>
    <w:p w14:paraId="1147152B">
      <w:pPr>
        <w:jc w:val="center"/>
        <w:rPr>
          <w:rFonts w:hint="eastAsia" w:ascii="宋体" w:hAnsi="宋体" w:eastAsia="宋体" w:cs="宋体"/>
          <w:b/>
          <w:bCs/>
          <w:color w:val="000000" w:themeColor="text1"/>
          <w:kern w:val="0"/>
          <w:sz w:val="36"/>
          <w:szCs w:val="36"/>
          <w:highlight w:val="none"/>
          <w14:textFill>
            <w14:solidFill>
              <w14:schemeClr w14:val="tx1"/>
            </w14:solidFill>
          </w14:textFill>
        </w:rPr>
      </w:pPr>
    </w:p>
    <w:p w14:paraId="137B787A">
      <w:pPr>
        <w:jc w:val="center"/>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t>目 录</w:t>
      </w:r>
    </w:p>
    <w:p w14:paraId="44F5C404">
      <w:pPr>
        <w:pStyle w:val="24"/>
        <w:tabs>
          <w:tab w:val="right" w:leader="dot" w:pos="8504"/>
        </w:tabs>
        <w:spacing w:line="720" w:lineRule="auto"/>
        <w:rPr>
          <w:rFonts w:ascii="宋体" w:hAnsi="宋体" w:eastAsia="宋体" w:cs="宋体"/>
          <w:sz w:val="24"/>
          <w:highlight w:val="none"/>
        </w:rPr>
      </w:pPr>
      <w:r>
        <w:rPr>
          <w:rFonts w:hint="eastAsia" w:ascii="宋体" w:hAnsi="宋体" w:eastAsia="宋体" w:cs="宋体"/>
          <w:b/>
          <w:bCs/>
          <w:color w:val="000000" w:themeColor="text1"/>
          <w:kern w:val="0"/>
          <w:sz w:val="24"/>
          <w:highlight w:val="none"/>
          <w14:textFill>
            <w14:solidFill>
              <w14:schemeClr w14:val="tx1"/>
            </w14:solidFill>
          </w14:textFill>
        </w:rPr>
        <w:fldChar w:fldCharType="begin"/>
      </w:r>
      <w:r>
        <w:rPr>
          <w:rFonts w:hint="eastAsia" w:ascii="宋体" w:hAnsi="宋体" w:eastAsia="宋体" w:cs="宋体"/>
          <w:b/>
          <w:bCs/>
          <w:color w:val="000000" w:themeColor="text1"/>
          <w:kern w:val="0"/>
          <w:sz w:val="24"/>
          <w:highlight w:val="none"/>
          <w14:textFill>
            <w14:solidFill>
              <w14:schemeClr w14:val="tx1"/>
            </w14:solidFill>
          </w14:textFill>
        </w:rPr>
        <w:instrText xml:space="preserve">TOC \o "1-1" \h \u </w:instrText>
      </w:r>
      <w:r>
        <w:rPr>
          <w:rFonts w:hint="eastAsia" w:ascii="宋体" w:hAnsi="宋体" w:eastAsia="宋体" w:cs="宋体"/>
          <w:b/>
          <w:bCs/>
          <w:color w:val="000000" w:themeColor="text1"/>
          <w:kern w:val="0"/>
          <w:sz w:val="24"/>
          <w:highlight w:val="none"/>
          <w14:textFill>
            <w14:solidFill>
              <w14:schemeClr w14:val="tx1"/>
            </w14:solidFill>
          </w14:textFill>
        </w:rPr>
        <w:fldChar w:fldCharType="separate"/>
      </w:r>
      <w:r>
        <w:rPr>
          <w:highlight w:val="none"/>
        </w:rPr>
        <w:fldChar w:fldCharType="begin"/>
      </w:r>
      <w:r>
        <w:rPr>
          <w:highlight w:val="none"/>
        </w:rPr>
        <w:instrText xml:space="preserve"> HYPERLINK \l "_Toc7704" </w:instrText>
      </w:r>
      <w:r>
        <w:rPr>
          <w:highlight w:val="none"/>
        </w:rPr>
        <w:fldChar w:fldCharType="separate"/>
      </w:r>
      <w:r>
        <w:rPr>
          <w:rFonts w:hint="eastAsia" w:ascii="宋体" w:hAnsi="宋体" w:eastAsia="宋体" w:cs="宋体"/>
          <w:bCs/>
          <w:kern w:val="0"/>
          <w:sz w:val="24"/>
          <w:highlight w:val="none"/>
        </w:rPr>
        <w:t xml:space="preserve">第一章 </w:t>
      </w:r>
      <w:r>
        <w:rPr>
          <w:rFonts w:hint="eastAsia" w:ascii="宋体" w:hAnsi="宋体" w:eastAsia="宋体" w:cs="宋体"/>
          <w:bCs/>
          <w:kern w:val="0"/>
          <w:sz w:val="24"/>
          <w:highlight w:val="none"/>
          <w:lang w:val="en-US" w:eastAsia="zh-CN"/>
        </w:rPr>
        <w:t xml:space="preserve"> </w:t>
      </w:r>
      <w:r>
        <w:rPr>
          <w:rFonts w:hint="eastAsia" w:ascii="宋体" w:hAnsi="宋体" w:eastAsia="宋体" w:cs="宋体"/>
          <w:bCs/>
          <w:kern w:val="0"/>
          <w:sz w:val="24"/>
          <w:highlight w:val="none"/>
        </w:rPr>
        <w:t>竞争性磋商公告</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_Toc7704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3</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20BDC355">
      <w:pPr>
        <w:pStyle w:val="24"/>
        <w:tabs>
          <w:tab w:val="right" w:leader="dot" w:pos="8504"/>
        </w:tabs>
        <w:spacing w:line="720" w:lineRule="auto"/>
        <w:rPr>
          <w:rFonts w:hint="default" w:ascii="宋体" w:hAnsi="宋体" w:eastAsia="宋体" w:cs="宋体"/>
          <w:sz w:val="24"/>
          <w:highlight w:val="none"/>
          <w:lang w:val="en-US" w:eastAsia="zh-CN"/>
        </w:rPr>
      </w:pPr>
      <w:r>
        <w:rPr>
          <w:highlight w:val="none"/>
        </w:rPr>
        <w:fldChar w:fldCharType="begin"/>
      </w:r>
      <w:r>
        <w:rPr>
          <w:highlight w:val="none"/>
        </w:rPr>
        <w:instrText xml:space="preserve"> HYPERLINK \l "_Toc15287" </w:instrText>
      </w:r>
      <w:r>
        <w:rPr>
          <w:highlight w:val="none"/>
        </w:rPr>
        <w:fldChar w:fldCharType="separate"/>
      </w:r>
      <w:r>
        <w:rPr>
          <w:rFonts w:hint="eastAsia" w:ascii="宋体" w:hAnsi="宋体" w:eastAsia="宋体" w:cs="宋体"/>
          <w:bCs/>
          <w:kern w:val="0"/>
          <w:sz w:val="24"/>
          <w:highlight w:val="none"/>
        </w:rPr>
        <w:t xml:space="preserve">第二章 </w:t>
      </w:r>
      <w:r>
        <w:rPr>
          <w:rFonts w:hint="eastAsia" w:ascii="宋体" w:hAnsi="宋体" w:eastAsia="宋体" w:cs="宋体"/>
          <w:bCs/>
          <w:kern w:val="0"/>
          <w:sz w:val="24"/>
          <w:highlight w:val="none"/>
          <w:lang w:val="en-US" w:eastAsia="zh-CN"/>
        </w:rPr>
        <w:t xml:space="preserve"> </w:t>
      </w:r>
      <w:r>
        <w:rPr>
          <w:rFonts w:hint="eastAsia" w:ascii="宋体" w:hAnsi="宋体" w:eastAsia="宋体" w:cs="宋体"/>
          <w:bCs/>
          <w:kern w:val="0"/>
          <w:sz w:val="24"/>
          <w:highlight w:val="none"/>
        </w:rPr>
        <w:t>供应商须知</w:t>
      </w:r>
      <w:r>
        <w:rPr>
          <w:rFonts w:hint="eastAsia" w:ascii="宋体" w:hAnsi="宋体" w:eastAsia="宋体" w:cs="宋体"/>
          <w:sz w:val="24"/>
          <w:highlight w:val="none"/>
        </w:rPr>
        <w:tab/>
      </w:r>
      <w:r>
        <w:rPr>
          <w:rFonts w:hint="eastAsia" w:ascii="宋体" w:hAnsi="宋体" w:eastAsia="宋体" w:cs="宋体"/>
          <w:sz w:val="24"/>
          <w:highlight w:val="none"/>
        </w:rPr>
        <w:fldChar w:fldCharType="end"/>
      </w:r>
      <w:r>
        <w:rPr>
          <w:rFonts w:hint="eastAsia" w:ascii="宋体" w:hAnsi="宋体" w:eastAsia="宋体" w:cs="宋体"/>
          <w:sz w:val="24"/>
          <w:highlight w:val="none"/>
          <w:lang w:val="en-US" w:eastAsia="zh-CN"/>
        </w:rPr>
        <w:t>9</w:t>
      </w:r>
    </w:p>
    <w:p w14:paraId="2B9A3D56">
      <w:pPr>
        <w:pStyle w:val="24"/>
        <w:tabs>
          <w:tab w:val="right" w:leader="dot" w:pos="8504"/>
        </w:tabs>
        <w:spacing w:line="720" w:lineRule="auto"/>
        <w:rPr>
          <w:rFonts w:ascii="宋体" w:hAnsi="宋体" w:eastAsia="宋体" w:cs="宋体"/>
          <w:sz w:val="24"/>
          <w:highlight w:val="none"/>
        </w:rPr>
      </w:pPr>
      <w:r>
        <w:rPr>
          <w:highlight w:val="none"/>
        </w:rPr>
        <w:fldChar w:fldCharType="begin"/>
      </w:r>
      <w:r>
        <w:rPr>
          <w:highlight w:val="none"/>
        </w:rPr>
        <w:instrText xml:space="preserve"> HYPERLINK \l "_Toc19316" </w:instrText>
      </w:r>
      <w:r>
        <w:rPr>
          <w:highlight w:val="none"/>
        </w:rPr>
        <w:fldChar w:fldCharType="separate"/>
      </w:r>
      <w:r>
        <w:rPr>
          <w:rFonts w:hint="eastAsia" w:ascii="宋体" w:hAnsi="宋体" w:eastAsia="宋体" w:cs="宋体"/>
          <w:bCs/>
          <w:kern w:val="0"/>
          <w:sz w:val="24"/>
          <w:highlight w:val="none"/>
        </w:rPr>
        <w:t>第三章  采购内容及要求</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_Toc19316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38</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19CB615F">
      <w:pPr>
        <w:pStyle w:val="24"/>
        <w:tabs>
          <w:tab w:val="right" w:leader="dot" w:pos="8504"/>
        </w:tabs>
        <w:spacing w:line="720" w:lineRule="auto"/>
        <w:rPr>
          <w:rFonts w:hint="eastAsia" w:ascii="宋体" w:hAnsi="宋体" w:eastAsia="宋体" w:cs="宋体"/>
          <w:sz w:val="24"/>
          <w:highlight w:val="none"/>
          <w:lang w:val="en-US" w:eastAsia="zh-CN"/>
        </w:rPr>
      </w:pPr>
      <w:r>
        <w:rPr>
          <w:highlight w:val="none"/>
        </w:rPr>
        <w:fldChar w:fldCharType="begin"/>
      </w:r>
      <w:r>
        <w:rPr>
          <w:highlight w:val="none"/>
        </w:rPr>
        <w:instrText xml:space="preserve"> HYPERLINK \l "_Toc1636" </w:instrText>
      </w:r>
      <w:r>
        <w:rPr>
          <w:highlight w:val="none"/>
        </w:rPr>
        <w:fldChar w:fldCharType="separate"/>
      </w:r>
      <w:r>
        <w:rPr>
          <w:rFonts w:hint="eastAsia" w:ascii="宋体" w:hAnsi="宋体" w:eastAsia="宋体" w:cs="宋体"/>
          <w:bCs/>
          <w:sz w:val="24"/>
          <w:highlight w:val="none"/>
        </w:rPr>
        <w:t>第四章</w:t>
      </w:r>
      <w:r>
        <w:rPr>
          <w:rFonts w:hint="eastAsia" w:ascii="宋体" w:hAnsi="宋体" w:eastAsia="宋体" w:cs="宋体"/>
          <w:bCs/>
          <w:kern w:val="0"/>
          <w:sz w:val="24"/>
          <w:highlight w:val="none"/>
        </w:rPr>
        <w:t xml:space="preserve">  </w:t>
      </w:r>
      <w:r>
        <w:rPr>
          <w:rFonts w:hint="eastAsia" w:ascii="宋体" w:hAnsi="宋体" w:eastAsia="宋体" w:cs="宋体"/>
          <w:bCs/>
          <w:sz w:val="24"/>
          <w:highlight w:val="none"/>
        </w:rPr>
        <w:t>合同主要条款及格式</w:t>
      </w:r>
      <w:r>
        <w:rPr>
          <w:rFonts w:hint="eastAsia" w:ascii="宋体" w:hAnsi="宋体" w:eastAsia="宋体" w:cs="宋体"/>
          <w:sz w:val="24"/>
          <w:highlight w:val="none"/>
        </w:rPr>
        <w:tab/>
      </w:r>
      <w:r>
        <w:rPr>
          <w:rFonts w:hint="eastAsia" w:ascii="宋体" w:hAnsi="宋体" w:eastAsia="宋体" w:cs="宋体"/>
          <w:sz w:val="24"/>
          <w:highlight w:val="none"/>
          <w:lang w:val="en-US" w:eastAsia="zh-CN"/>
        </w:rPr>
        <w:t>5</w:t>
      </w:r>
      <w:r>
        <w:rPr>
          <w:rFonts w:hint="eastAsia" w:ascii="宋体" w:hAnsi="宋体" w:eastAsia="宋体" w:cs="宋体"/>
          <w:sz w:val="24"/>
          <w:highlight w:val="none"/>
        </w:rPr>
        <w:fldChar w:fldCharType="end"/>
      </w:r>
      <w:r>
        <w:rPr>
          <w:rFonts w:hint="eastAsia" w:ascii="宋体" w:hAnsi="宋体" w:eastAsia="宋体" w:cs="宋体"/>
          <w:sz w:val="24"/>
          <w:highlight w:val="none"/>
          <w:lang w:val="en-US" w:eastAsia="zh-CN"/>
        </w:rPr>
        <w:t>0</w:t>
      </w:r>
    </w:p>
    <w:p w14:paraId="66BD7A08">
      <w:pPr>
        <w:pStyle w:val="24"/>
        <w:tabs>
          <w:tab w:val="right" w:leader="dot" w:pos="8504"/>
        </w:tabs>
        <w:spacing w:line="720" w:lineRule="auto"/>
        <w:rPr>
          <w:rFonts w:ascii="宋体" w:hAnsi="宋体" w:eastAsia="宋体" w:cs="宋体"/>
          <w:sz w:val="24"/>
          <w:highlight w:val="none"/>
        </w:rPr>
      </w:pPr>
      <w:r>
        <w:rPr>
          <w:highlight w:val="none"/>
        </w:rPr>
        <w:fldChar w:fldCharType="begin"/>
      </w:r>
      <w:r>
        <w:rPr>
          <w:highlight w:val="none"/>
        </w:rPr>
        <w:instrText xml:space="preserve"> HYPERLINK \l "_Toc27469" </w:instrText>
      </w:r>
      <w:r>
        <w:rPr>
          <w:highlight w:val="none"/>
        </w:rPr>
        <w:fldChar w:fldCharType="separate"/>
      </w:r>
      <w:r>
        <w:rPr>
          <w:rFonts w:hint="eastAsia" w:ascii="宋体" w:hAnsi="宋体" w:eastAsia="宋体" w:cs="宋体"/>
          <w:bCs/>
          <w:kern w:val="0"/>
          <w:sz w:val="24"/>
          <w:highlight w:val="none"/>
        </w:rPr>
        <w:t xml:space="preserve">第五章 </w:t>
      </w:r>
      <w:r>
        <w:rPr>
          <w:rFonts w:hint="eastAsia" w:ascii="宋体" w:hAnsi="宋体" w:eastAsia="宋体" w:cs="宋体"/>
          <w:bCs/>
          <w:kern w:val="0"/>
          <w:sz w:val="24"/>
          <w:highlight w:val="none"/>
          <w:lang w:val="en-US" w:eastAsia="zh-CN"/>
        </w:rPr>
        <w:t xml:space="preserve"> </w:t>
      </w:r>
      <w:r>
        <w:rPr>
          <w:rFonts w:hint="eastAsia" w:ascii="宋体" w:hAnsi="宋体" w:eastAsia="宋体" w:cs="宋体"/>
          <w:bCs/>
          <w:kern w:val="0"/>
          <w:sz w:val="24"/>
          <w:highlight w:val="none"/>
        </w:rPr>
        <w:t>响应文件格式</w:t>
      </w:r>
      <w:r>
        <w:rPr>
          <w:rFonts w:hint="eastAsia" w:ascii="宋体" w:hAnsi="宋体" w:eastAsia="宋体" w:cs="宋体"/>
          <w:sz w:val="24"/>
          <w:highlight w:val="none"/>
        </w:rPr>
        <w:tab/>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PAGEREF _Toc27469 \h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5</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p>
    <w:p w14:paraId="6519E6E9">
      <w:pPr>
        <w:tabs>
          <w:tab w:val="left" w:pos="1245"/>
        </w:tabs>
        <w:spacing w:line="720" w:lineRule="auto"/>
        <w:jc w:val="center"/>
        <w:rPr>
          <w:rFonts w:ascii="宋体" w:hAnsi="宋体" w:eastAsia="宋体" w:cs="宋体"/>
          <w:b/>
          <w:bCs/>
          <w:color w:val="000000" w:themeColor="text1"/>
          <w:kern w:val="0"/>
          <w:sz w:val="36"/>
          <w:szCs w:val="36"/>
          <w:highlight w:val="none"/>
          <w14:textFill>
            <w14:solidFill>
              <w14:schemeClr w14:val="tx1"/>
            </w14:solidFill>
          </w14:textFill>
        </w:rPr>
        <w:sectPr>
          <w:footerReference r:id="rId4" w:type="first"/>
          <w:footerReference r:id="rId3" w:type="default"/>
          <w:pgSz w:w="11906" w:h="16838"/>
          <w:pgMar w:top="1440" w:right="1701" w:bottom="1440" w:left="1701" w:header="851" w:footer="680" w:gutter="0"/>
          <w:pgNumType w:fmt="decimal" w:start="1" w:chapStyle="1"/>
          <w:cols w:space="720" w:num="1"/>
          <w:docGrid w:type="lines" w:linePitch="312" w:charSpace="0"/>
        </w:sectPr>
      </w:pPr>
      <w:r>
        <w:rPr>
          <w:rFonts w:hint="eastAsia" w:ascii="宋体" w:hAnsi="宋体" w:eastAsia="宋体" w:cs="宋体"/>
          <w:bCs/>
          <w:color w:val="000000" w:themeColor="text1"/>
          <w:kern w:val="0"/>
          <w:szCs w:val="24"/>
          <w:highlight w:val="none"/>
          <w14:textFill>
            <w14:solidFill>
              <w14:schemeClr w14:val="tx1"/>
            </w14:solidFill>
          </w14:textFill>
        </w:rPr>
        <w:fldChar w:fldCharType="end"/>
      </w:r>
    </w:p>
    <w:bookmarkEnd w:id="0"/>
    <w:p w14:paraId="4D22E105">
      <w:pPr>
        <w:numPr>
          <w:ilvl w:val="0"/>
          <w:numId w:val="0"/>
        </w:numPr>
        <w:tabs>
          <w:tab w:val="left" w:pos="1245"/>
        </w:tabs>
        <w:jc w:val="center"/>
        <w:outlineLvl w:val="0"/>
        <w:rPr>
          <w:rFonts w:hint="eastAsia" w:ascii="宋体" w:hAnsi="宋体" w:eastAsia="宋体" w:cs="宋体"/>
          <w:szCs w:val="24"/>
          <w:highlight w:val="none"/>
        </w:rPr>
      </w:pPr>
      <w:bookmarkStart w:id="3" w:name="_Toc7704"/>
      <w:r>
        <w:rPr>
          <w:rFonts w:hint="eastAsia" w:ascii="宋体" w:hAnsi="宋体" w:eastAsia="宋体" w:cs="宋体"/>
          <w:b/>
          <w:bCs/>
          <w:color w:val="000000" w:themeColor="text1"/>
          <w:kern w:val="0"/>
          <w:sz w:val="36"/>
          <w:szCs w:val="36"/>
          <w:highlight w:val="none"/>
          <w:lang w:val="en-US" w:eastAsia="zh-CN"/>
          <w14:textFill>
            <w14:solidFill>
              <w14:schemeClr w14:val="tx1"/>
            </w14:solidFill>
          </w14:textFill>
        </w:rPr>
        <w:t xml:space="preserve">第一章 </w:t>
      </w:r>
      <w:r>
        <w:rPr>
          <w:rFonts w:hint="eastAsia" w:ascii="宋体" w:hAnsi="宋体" w:eastAsia="宋体" w:cs="宋体"/>
          <w:b/>
          <w:bCs/>
          <w:color w:val="000000" w:themeColor="text1"/>
          <w:kern w:val="0"/>
          <w:sz w:val="36"/>
          <w:szCs w:val="36"/>
          <w:highlight w:val="none"/>
          <w14:textFill>
            <w14:solidFill>
              <w14:schemeClr w14:val="tx1"/>
            </w14:solidFill>
          </w14:textFill>
        </w:rPr>
        <w:t>竞争性磋商公告</w:t>
      </w:r>
      <w:bookmarkEnd w:id="1"/>
      <w:bookmarkEnd w:id="2"/>
      <w:bookmarkEnd w:id="3"/>
    </w:p>
    <w:p w14:paraId="056B3F05">
      <w:pPr>
        <w:keepNext w:val="0"/>
        <w:keepLines w:val="0"/>
        <w:pageBreakBefore w:val="0"/>
        <w:widowControl/>
        <w:shd w:val="clear" w:color="auto" w:fill="FFFFFF"/>
        <w:kinsoku/>
        <w:overflowPunct/>
        <w:topLinePunct w:val="0"/>
        <w:autoSpaceDE/>
        <w:autoSpaceDN/>
        <w:bidi w:val="0"/>
        <w:adjustRightInd/>
        <w:snapToGrid/>
        <w:spacing w:beforeAutospacing="0" w:afterAutospacing="0" w:line="480" w:lineRule="exact"/>
        <w:jc w:val="center"/>
        <w:rPr>
          <w:rFonts w:hint="eastAsia" w:cs="宋体" w:asciiTheme="minorEastAsia" w:hAnsiTheme="minorEastAsia"/>
          <w:b/>
          <w:bCs/>
          <w:color w:val="000000"/>
          <w:kern w:val="0"/>
          <w:sz w:val="28"/>
          <w:szCs w:val="28"/>
          <w:lang w:eastAsia="zh-CN"/>
        </w:rPr>
      </w:pPr>
      <w:r>
        <w:rPr>
          <w:rFonts w:hint="eastAsia" w:cs="宋体" w:asciiTheme="minorEastAsia" w:hAnsiTheme="minorEastAsia"/>
          <w:b/>
          <w:bCs/>
          <w:color w:val="000000"/>
          <w:kern w:val="0"/>
          <w:sz w:val="28"/>
          <w:szCs w:val="28"/>
          <w:lang w:eastAsia="zh-CN"/>
        </w:rPr>
        <w:t>千阳县</w:t>
      </w:r>
      <w:r>
        <w:rPr>
          <w:rFonts w:hint="eastAsia" w:cs="宋体" w:asciiTheme="minorEastAsia" w:hAnsiTheme="minorEastAsia"/>
          <w:b/>
          <w:bCs/>
          <w:color w:val="000000"/>
          <w:kern w:val="0"/>
          <w:sz w:val="28"/>
          <w:szCs w:val="28"/>
          <w:lang w:val="en-US" w:eastAsia="zh-CN"/>
        </w:rPr>
        <w:t>地下水工作队</w:t>
      </w:r>
      <w:r>
        <w:rPr>
          <w:rFonts w:hint="eastAsia" w:cs="宋体" w:asciiTheme="minorEastAsia" w:hAnsiTheme="minorEastAsia"/>
          <w:b/>
          <w:bCs/>
          <w:color w:val="000000"/>
          <w:kern w:val="0"/>
          <w:sz w:val="28"/>
          <w:szCs w:val="28"/>
          <w:lang w:eastAsia="zh-CN"/>
        </w:rPr>
        <w:t>千阳县2026年度取水口监测计量项目</w:t>
      </w:r>
    </w:p>
    <w:p w14:paraId="4F236AF9">
      <w:pPr>
        <w:keepNext w:val="0"/>
        <w:keepLines w:val="0"/>
        <w:pageBreakBefore w:val="0"/>
        <w:widowControl/>
        <w:shd w:val="clear" w:color="auto" w:fill="FFFFFF"/>
        <w:kinsoku/>
        <w:overflowPunct/>
        <w:topLinePunct w:val="0"/>
        <w:autoSpaceDE/>
        <w:autoSpaceDN/>
        <w:bidi w:val="0"/>
        <w:adjustRightInd/>
        <w:snapToGrid/>
        <w:spacing w:beforeAutospacing="0" w:afterAutospacing="0" w:line="480" w:lineRule="exact"/>
        <w:jc w:val="center"/>
        <w:rPr>
          <w:rFonts w:hint="eastAsia" w:cs="宋体" w:asciiTheme="minorEastAsia" w:hAnsiTheme="minorEastAsia"/>
          <w:b/>
          <w:bCs/>
          <w:color w:val="000000"/>
          <w:kern w:val="0"/>
          <w:sz w:val="28"/>
          <w:szCs w:val="28"/>
          <w:lang w:eastAsia="zh-CN"/>
        </w:rPr>
      </w:pPr>
      <w:r>
        <w:rPr>
          <w:rFonts w:hint="eastAsia" w:cs="宋体" w:asciiTheme="minorEastAsia" w:hAnsiTheme="minorEastAsia"/>
          <w:b/>
          <w:bCs/>
          <w:color w:val="000000"/>
          <w:kern w:val="0"/>
          <w:sz w:val="28"/>
          <w:szCs w:val="28"/>
          <w:lang w:eastAsia="zh-CN"/>
        </w:rPr>
        <w:t>竞争性磋商公告</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377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0" w:type="dxa"/>
          </w:tcPr>
          <w:p w14:paraId="32318CD1">
            <w:pPr>
              <w:widowControl/>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项目概况</w:t>
            </w:r>
          </w:p>
          <w:p w14:paraId="49ED9BC8">
            <w:pPr>
              <w:pStyle w:val="32"/>
              <w:widowControl/>
              <w:wordWrap w:val="0"/>
              <w:spacing w:line="560" w:lineRule="exact"/>
              <w:ind w:firstLine="480"/>
              <w:jc w:val="both"/>
              <w:rPr>
                <w:rStyle w:val="40"/>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eastAsia="zh-CN"/>
              </w:rPr>
              <w:t>千阳县2026年度取水口监测计量项目</w:t>
            </w:r>
            <w:r>
              <w:rPr>
                <w:rFonts w:hint="eastAsia" w:asciiTheme="majorEastAsia" w:hAnsiTheme="majorEastAsia" w:eastAsiaTheme="majorEastAsia" w:cstheme="majorEastAsia"/>
                <w:sz w:val="24"/>
                <w:szCs w:val="24"/>
                <w:highlight w:val="none"/>
                <w:shd w:val="clear" w:color="auto" w:fill="FFFFFF"/>
              </w:rPr>
              <w:t>采购项目的潜在供应商应在【全国公共资源交易平台（陕西省·宝鸡市）】（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）获取采购文件，并于</w:t>
            </w:r>
            <w:r>
              <w:rPr>
                <w:rFonts w:hint="eastAsia" w:asciiTheme="majorEastAsia" w:hAnsiTheme="majorEastAsia" w:eastAsiaTheme="majorEastAsia" w:cstheme="majorEastAsia"/>
                <w:sz w:val="24"/>
                <w:szCs w:val="24"/>
                <w:highlight w:val="none"/>
                <w:shd w:val="clear" w:color="auto" w:fill="FFFFFF"/>
                <w:lang w:eastAsia="zh-CN"/>
              </w:rPr>
              <w:t>2026年05月13日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0分（北京时间）前提交响应文件。</w:t>
            </w:r>
          </w:p>
        </w:tc>
      </w:tr>
    </w:tbl>
    <w:p w14:paraId="53A43D25">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一、项目基本情况</w:t>
      </w:r>
    </w:p>
    <w:p w14:paraId="1C68EC47">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lang w:eastAsia="zh-CN"/>
        </w:rPr>
      </w:pPr>
      <w:r>
        <w:rPr>
          <w:rStyle w:val="40"/>
          <w:rFonts w:hint="eastAsia" w:asciiTheme="majorEastAsia" w:hAnsiTheme="majorEastAsia" w:eastAsiaTheme="majorEastAsia" w:cstheme="majorEastAsia"/>
          <w:b w:val="0"/>
          <w:bCs w:val="0"/>
          <w:sz w:val="24"/>
          <w:szCs w:val="24"/>
          <w:highlight w:val="none"/>
          <w:shd w:val="clear" w:color="auto" w:fill="FFFFFF"/>
        </w:rPr>
        <w:t>项目编号：</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HDZX2026（010）CG</w:t>
      </w:r>
    </w:p>
    <w:p w14:paraId="2CCA2838">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lang w:eastAsia="zh-CN"/>
        </w:rPr>
      </w:pPr>
      <w:r>
        <w:rPr>
          <w:rStyle w:val="40"/>
          <w:rFonts w:hint="eastAsia" w:asciiTheme="majorEastAsia" w:hAnsiTheme="majorEastAsia" w:eastAsiaTheme="majorEastAsia" w:cstheme="majorEastAsia"/>
          <w:b w:val="0"/>
          <w:bCs w:val="0"/>
          <w:sz w:val="24"/>
          <w:szCs w:val="24"/>
          <w:highlight w:val="none"/>
          <w:shd w:val="clear" w:color="auto" w:fill="FFFFFF"/>
        </w:rPr>
        <w:t>项目名称：</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千阳县2026年度取水口监测计量项目</w:t>
      </w:r>
    </w:p>
    <w:p w14:paraId="4020DC05">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采购方式：竞争性磋商</w:t>
      </w:r>
    </w:p>
    <w:p w14:paraId="7E45FE33">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730,000.00</w:t>
      </w:r>
      <w:r>
        <w:rPr>
          <w:rStyle w:val="40"/>
          <w:rFonts w:hint="eastAsia" w:asciiTheme="majorEastAsia" w:hAnsiTheme="majorEastAsia" w:eastAsiaTheme="majorEastAsia" w:cstheme="majorEastAsia"/>
          <w:b w:val="0"/>
          <w:bCs w:val="0"/>
          <w:sz w:val="24"/>
          <w:szCs w:val="24"/>
          <w:highlight w:val="none"/>
          <w:shd w:val="clear" w:color="auto" w:fill="FFFFFF"/>
        </w:rPr>
        <w:t>元</w:t>
      </w:r>
    </w:p>
    <w:p w14:paraId="4F0BDA9F">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采购需求：</w:t>
      </w:r>
    </w:p>
    <w:p w14:paraId="48CE32E6">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合同包1(</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千阳县2026年度取水口监测计量项目</w:t>
      </w:r>
      <w:r>
        <w:rPr>
          <w:rStyle w:val="40"/>
          <w:rFonts w:hint="eastAsia" w:asciiTheme="majorEastAsia" w:hAnsiTheme="majorEastAsia" w:eastAsiaTheme="majorEastAsia" w:cstheme="majorEastAsia"/>
          <w:b w:val="0"/>
          <w:bCs w:val="0"/>
          <w:sz w:val="24"/>
          <w:szCs w:val="24"/>
          <w:highlight w:val="none"/>
          <w:shd w:val="clear" w:color="auto" w:fill="FFFFFF"/>
        </w:rPr>
        <w:t>):</w:t>
      </w:r>
    </w:p>
    <w:p w14:paraId="396E829C">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合同包预算金额：</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730,000.00</w:t>
      </w:r>
      <w:r>
        <w:rPr>
          <w:rStyle w:val="40"/>
          <w:rFonts w:hint="eastAsia" w:asciiTheme="majorEastAsia" w:hAnsiTheme="majorEastAsia" w:eastAsiaTheme="majorEastAsia" w:cstheme="majorEastAsia"/>
          <w:b w:val="0"/>
          <w:bCs w:val="0"/>
          <w:sz w:val="24"/>
          <w:szCs w:val="24"/>
          <w:highlight w:val="none"/>
          <w:shd w:val="clear" w:color="auto" w:fill="FFFFFF"/>
        </w:rPr>
        <w:t>元</w:t>
      </w:r>
    </w:p>
    <w:p w14:paraId="00FE0EB1">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最高限价</w:t>
      </w:r>
      <w:r>
        <w:rPr>
          <w:rStyle w:val="40"/>
          <w:rFonts w:hint="eastAsia" w:asciiTheme="majorEastAsia" w:hAnsiTheme="majorEastAsia" w:eastAsiaTheme="majorEastAsia" w:cstheme="majorEastAsia"/>
          <w:b w:val="0"/>
          <w:bCs w:val="0"/>
          <w:sz w:val="24"/>
          <w:szCs w:val="24"/>
          <w:highlight w:val="none"/>
          <w:shd w:val="clear" w:color="auto" w:fill="FFFFFF"/>
        </w:rPr>
        <w:t>：</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730,000.00</w:t>
      </w:r>
      <w:r>
        <w:rPr>
          <w:rStyle w:val="40"/>
          <w:rFonts w:hint="eastAsia" w:asciiTheme="majorEastAsia" w:hAnsiTheme="majorEastAsia" w:eastAsiaTheme="majorEastAsia" w:cstheme="majorEastAsia"/>
          <w:b w:val="0"/>
          <w:bCs w:val="0"/>
          <w:sz w:val="24"/>
          <w:szCs w:val="24"/>
          <w:highlight w:val="none"/>
          <w:shd w:val="clear" w:color="auto" w:fill="FFFFFF"/>
        </w:rPr>
        <w:t>元</w:t>
      </w:r>
    </w:p>
    <w:tbl>
      <w:tblPr>
        <w:tblStyle w:val="37"/>
        <w:tblW w:w="920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29"/>
        <w:gridCol w:w="1524"/>
        <w:gridCol w:w="2223"/>
        <w:gridCol w:w="1136"/>
        <w:gridCol w:w="1823"/>
        <w:gridCol w:w="1665"/>
      </w:tblGrid>
      <w:tr w14:paraId="6B48D7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117" w:hRule="atLeast"/>
          <w:tblHeader/>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595612B">
            <w:pPr>
              <w:pStyle w:val="32"/>
              <w:keepNext w:val="0"/>
              <w:keepLines w:val="0"/>
              <w:pageBreakBefore w:val="0"/>
              <w:widowControl/>
              <w:kinsoku/>
              <w:wordWrap w:val="0"/>
              <w:overflowPunct/>
              <w:topLinePunct w:val="0"/>
              <w:autoSpaceDE/>
              <w:autoSpaceDN/>
              <w:bidi w:val="0"/>
              <w:adjustRightInd/>
              <w:snapToGrid/>
              <w:spacing w:line="300" w:lineRule="atLeast"/>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品目号</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5377B22">
            <w:pPr>
              <w:pStyle w:val="32"/>
              <w:keepNext w:val="0"/>
              <w:keepLines w:val="0"/>
              <w:pageBreakBefore w:val="0"/>
              <w:widowControl/>
              <w:kinsoku/>
              <w:wordWrap w:val="0"/>
              <w:overflowPunct/>
              <w:topLinePunct w:val="0"/>
              <w:autoSpaceDE/>
              <w:autoSpaceDN/>
              <w:bidi w:val="0"/>
              <w:adjustRightInd/>
              <w:snapToGrid/>
              <w:spacing w:line="300" w:lineRule="atLeast"/>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品目名称</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30F0372">
            <w:pPr>
              <w:pStyle w:val="32"/>
              <w:keepNext w:val="0"/>
              <w:keepLines w:val="0"/>
              <w:pageBreakBefore w:val="0"/>
              <w:widowControl/>
              <w:kinsoku/>
              <w:wordWrap w:val="0"/>
              <w:overflowPunct/>
              <w:topLinePunct w:val="0"/>
              <w:autoSpaceDE/>
              <w:autoSpaceDN/>
              <w:bidi w:val="0"/>
              <w:adjustRightInd/>
              <w:snapToGrid/>
              <w:spacing w:line="300" w:lineRule="atLeast"/>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采购标的</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E3203FE">
            <w:pPr>
              <w:pStyle w:val="32"/>
              <w:keepNext w:val="0"/>
              <w:keepLines w:val="0"/>
              <w:pageBreakBefore w:val="0"/>
              <w:widowControl/>
              <w:kinsoku/>
              <w:wordWrap w:val="0"/>
              <w:overflowPunct/>
              <w:topLinePunct w:val="0"/>
              <w:autoSpaceDE/>
              <w:autoSpaceDN/>
              <w:bidi w:val="0"/>
              <w:adjustRightInd/>
              <w:snapToGrid/>
              <w:spacing w:line="300" w:lineRule="atLeast"/>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数量</w:t>
            </w:r>
          </w:p>
          <w:p w14:paraId="76E5E1B0">
            <w:pPr>
              <w:pStyle w:val="32"/>
              <w:keepNext w:val="0"/>
              <w:keepLines w:val="0"/>
              <w:pageBreakBefore w:val="0"/>
              <w:widowControl/>
              <w:kinsoku/>
              <w:wordWrap w:val="0"/>
              <w:overflowPunct/>
              <w:topLinePunct w:val="0"/>
              <w:autoSpaceDE/>
              <w:autoSpaceDN/>
              <w:bidi w:val="0"/>
              <w:adjustRightInd/>
              <w:snapToGrid/>
              <w:spacing w:line="300" w:lineRule="atLeast"/>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（单位）</w:t>
            </w:r>
          </w:p>
        </w:tc>
        <w:tc>
          <w:tcPr>
            <w:tcW w:w="18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60A0641">
            <w:pPr>
              <w:pStyle w:val="32"/>
              <w:keepNext w:val="0"/>
              <w:keepLines w:val="0"/>
              <w:pageBreakBefore w:val="0"/>
              <w:widowControl/>
              <w:kinsoku/>
              <w:wordWrap w:val="0"/>
              <w:overflowPunct/>
              <w:topLinePunct w:val="0"/>
              <w:autoSpaceDE/>
              <w:autoSpaceDN/>
              <w:bidi w:val="0"/>
              <w:adjustRightInd/>
              <w:snapToGrid/>
              <w:spacing w:line="300" w:lineRule="atLeast"/>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技术规格、参数及要求</w:t>
            </w:r>
          </w:p>
        </w:tc>
        <w:tc>
          <w:tcPr>
            <w:tcW w:w="166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F17142">
            <w:pPr>
              <w:pStyle w:val="32"/>
              <w:keepNext w:val="0"/>
              <w:keepLines w:val="0"/>
              <w:pageBreakBefore w:val="0"/>
              <w:widowControl/>
              <w:kinsoku/>
              <w:wordWrap w:val="0"/>
              <w:overflowPunct/>
              <w:topLinePunct w:val="0"/>
              <w:autoSpaceDE/>
              <w:autoSpaceDN/>
              <w:bidi w:val="0"/>
              <w:adjustRightInd/>
              <w:snapToGrid/>
              <w:spacing w:line="300" w:lineRule="atLeast"/>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品目预算(元)</w:t>
            </w:r>
          </w:p>
        </w:tc>
      </w:tr>
      <w:tr w14:paraId="0417F1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66" w:hRule="atLeast"/>
        </w:trPr>
        <w:tc>
          <w:tcPr>
            <w:tcW w:w="82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311CCCC">
            <w:pPr>
              <w:pStyle w:val="32"/>
              <w:keepNext w:val="0"/>
              <w:keepLines w:val="0"/>
              <w:pageBreakBefore w:val="0"/>
              <w:widowControl/>
              <w:kinsoku/>
              <w:wordWrap w:val="0"/>
              <w:overflowPunct/>
              <w:topLinePunct w:val="0"/>
              <w:autoSpaceDE/>
              <w:autoSpaceDN/>
              <w:bidi w:val="0"/>
              <w:adjustRightInd/>
              <w:snapToGrid/>
              <w:spacing w:line="36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1-1</w:t>
            </w:r>
          </w:p>
        </w:tc>
        <w:tc>
          <w:tcPr>
            <w:tcW w:w="152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C809F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center"/>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其他水资源管理服务</w:t>
            </w:r>
          </w:p>
        </w:tc>
        <w:tc>
          <w:tcPr>
            <w:tcW w:w="22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0478EE">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center"/>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14处农灌井取水口以电折水在线监测样本井设施安装和设备调试平台对接以电折水系数测算等技术服务新建取水口标识牌190个含标志牌制作安装</w:t>
            </w:r>
          </w:p>
        </w:tc>
        <w:tc>
          <w:tcPr>
            <w:tcW w:w="11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771F0A5">
            <w:pPr>
              <w:pStyle w:val="32"/>
              <w:keepNext w:val="0"/>
              <w:keepLines w:val="0"/>
              <w:pageBreakBefore w:val="0"/>
              <w:widowControl/>
              <w:kinsoku/>
              <w:wordWrap w:val="0"/>
              <w:overflowPunct/>
              <w:topLinePunct w:val="0"/>
              <w:autoSpaceDE/>
              <w:autoSpaceDN/>
              <w:bidi w:val="0"/>
              <w:adjustRightInd/>
              <w:snapToGrid/>
              <w:spacing w:line="36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1(项)</w:t>
            </w:r>
          </w:p>
        </w:tc>
        <w:tc>
          <w:tcPr>
            <w:tcW w:w="182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B47BD8A">
            <w:pPr>
              <w:pStyle w:val="32"/>
              <w:keepNext w:val="0"/>
              <w:keepLines w:val="0"/>
              <w:pageBreakBefore w:val="0"/>
              <w:widowControl/>
              <w:kinsoku/>
              <w:wordWrap w:val="0"/>
              <w:overflowPunct/>
              <w:topLinePunct w:val="0"/>
              <w:autoSpaceDE/>
              <w:autoSpaceDN/>
              <w:bidi w:val="0"/>
              <w:adjustRightInd/>
              <w:snapToGrid/>
              <w:spacing w:line="36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详见采购文件</w:t>
            </w:r>
          </w:p>
        </w:tc>
        <w:tc>
          <w:tcPr>
            <w:tcW w:w="166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CACCE89">
            <w:pPr>
              <w:pStyle w:val="32"/>
              <w:keepNext w:val="0"/>
              <w:keepLines w:val="0"/>
              <w:pageBreakBefore w:val="0"/>
              <w:widowControl/>
              <w:kinsoku/>
              <w:wordWrap w:val="0"/>
              <w:overflowPunct/>
              <w:topLinePunct w:val="0"/>
              <w:autoSpaceDE/>
              <w:autoSpaceDN/>
              <w:bidi w:val="0"/>
              <w:adjustRightInd/>
              <w:snapToGrid/>
              <w:spacing w:line="360" w:lineRule="auto"/>
              <w:jc w:val="center"/>
              <w:textAlignment w:val="auto"/>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730,000.00</w:t>
            </w:r>
          </w:p>
        </w:tc>
      </w:tr>
    </w:tbl>
    <w:p w14:paraId="6F0B9859">
      <w:pPr>
        <w:pStyle w:val="32"/>
        <w:widowControl/>
        <w:wordWrap w:val="0"/>
        <w:spacing w:line="560" w:lineRule="exact"/>
        <w:ind w:firstLine="480" w:firstLineChars="200"/>
        <w:jc w:val="both"/>
        <w:rPr>
          <w:rStyle w:val="40"/>
          <w:rFonts w:hint="eastAsia" w:asciiTheme="majorEastAsia" w:hAnsiTheme="majorEastAsia" w:eastAsiaTheme="majorEastAsia" w:cstheme="majorEastAsia"/>
          <w:b w:val="0"/>
          <w:bCs w:val="0"/>
          <w:sz w:val="24"/>
          <w:szCs w:val="24"/>
          <w:highlight w:val="none"/>
          <w:shd w:val="clear" w:color="auto" w:fill="FFFFFF"/>
        </w:rPr>
      </w:pPr>
      <w:r>
        <w:rPr>
          <w:rStyle w:val="40"/>
          <w:rFonts w:hint="eastAsia" w:asciiTheme="majorEastAsia" w:hAnsiTheme="majorEastAsia" w:eastAsiaTheme="majorEastAsia" w:cstheme="majorEastAsia"/>
          <w:b w:val="0"/>
          <w:bCs w:val="0"/>
          <w:sz w:val="24"/>
          <w:szCs w:val="24"/>
          <w:highlight w:val="none"/>
          <w:shd w:val="clear" w:color="auto" w:fill="FFFFFF"/>
        </w:rPr>
        <w:t>本合同包</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不</w:t>
      </w:r>
      <w:r>
        <w:rPr>
          <w:rStyle w:val="40"/>
          <w:rFonts w:hint="eastAsia" w:asciiTheme="majorEastAsia" w:hAnsiTheme="majorEastAsia" w:eastAsiaTheme="majorEastAsia" w:cstheme="majorEastAsia"/>
          <w:b w:val="0"/>
          <w:bCs w:val="0"/>
          <w:sz w:val="24"/>
          <w:szCs w:val="24"/>
          <w:highlight w:val="none"/>
          <w:shd w:val="clear" w:color="auto" w:fill="FFFFFF"/>
        </w:rPr>
        <w:t>接受联合体投标</w:t>
      </w:r>
    </w:p>
    <w:p w14:paraId="33EA35B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pPr>
      <w:r>
        <w:rPr>
          <w:rStyle w:val="40"/>
          <w:rFonts w:hint="eastAsia" w:asciiTheme="majorEastAsia" w:hAnsiTheme="majorEastAsia" w:eastAsiaTheme="majorEastAsia" w:cstheme="majorEastAsia"/>
          <w:b w:val="0"/>
          <w:bCs w:val="0"/>
          <w:sz w:val="24"/>
          <w:szCs w:val="24"/>
          <w:highlight w:val="none"/>
          <w:shd w:val="clear" w:color="auto" w:fill="FFFFFF"/>
        </w:rPr>
        <w:t>合同履行期限：</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自合同签订之日起180个日历天</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（具体服务起止日期可随合同签订时间相应顺延）</w:t>
      </w:r>
    </w:p>
    <w:p w14:paraId="4B160D78">
      <w:pPr>
        <w:pStyle w:val="32"/>
        <w:widowControl/>
        <w:wordWrap w:val="0"/>
        <w:spacing w:line="560" w:lineRule="exact"/>
        <w:jc w:val="both"/>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二、申请人的资格要求：</w:t>
      </w:r>
    </w:p>
    <w:p w14:paraId="0A45E7C2">
      <w:pPr>
        <w:pStyle w:val="32"/>
        <w:widowControl/>
        <w:wordWrap w:val="0"/>
        <w:spacing w:line="560" w:lineRule="exact"/>
        <w:ind w:firstLine="480"/>
        <w:jc w:val="both"/>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shd w:val="clear" w:color="auto" w:fill="FFFFFF"/>
        </w:rPr>
        <w:t>1.满足《中华人民共和国政府采购法》第二十二条规定</w:t>
      </w:r>
      <w:r>
        <w:rPr>
          <w:rFonts w:hint="eastAsia" w:asciiTheme="majorEastAsia" w:hAnsiTheme="majorEastAsia" w:eastAsiaTheme="majorEastAsia" w:cstheme="majorEastAsia"/>
          <w:sz w:val="24"/>
          <w:szCs w:val="24"/>
          <w:highlight w:val="none"/>
          <w:shd w:val="clear" w:color="auto" w:fill="FFFFFF"/>
          <w:lang w:eastAsia="zh-CN"/>
        </w:rPr>
        <w:t>；</w:t>
      </w:r>
    </w:p>
    <w:p w14:paraId="1EB240C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2.落实政府采购政策需满足的资格要求：</w:t>
      </w:r>
    </w:p>
    <w:p w14:paraId="3D2F2D2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rPr>
        <w:t>合同包1(</w:t>
      </w:r>
      <w:r>
        <w:rPr>
          <w:rFonts w:hint="eastAsia" w:asciiTheme="majorEastAsia" w:hAnsiTheme="majorEastAsia" w:eastAsiaTheme="majorEastAsia" w:cstheme="majorEastAsia"/>
          <w:sz w:val="24"/>
          <w:szCs w:val="24"/>
          <w:highlight w:val="none"/>
          <w:shd w:val="clear" w:color="auto" w:fill="FFFFFF"/>
          <w:lang w:eastAsia="zh-CN"/>
        </w:rPr>
        <w:t>千阳县2026年度取水口监测计量项目</w:t>
      </w:r>
      <w:r>
        <w:rPr>
          <w:rFonts w:hint="eastAsia" w:asciiTheme="majorEastAsia" w:hAnsiTheme="majorEastAsia" w:eastAsiaTheme="majorEastAsia" w:cstheme="majorEastAsia"/>
          <w:sz w:val="24"/>
          <w:szCs w:val="24"/>
          <w:highlight w:val="none"/>
          <w:shd w:val="clear" w:color="auto" w:fill="FFFFFF"/>
        </w:rPr>
        <w:t>)落实政府采购政策需满足的资格要求如下:</w:t>
      </w:r>
    </w:p>
    <w:p w14:paraId="43BE1694">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（1）</w:t>
      </w:r>
      <w:r>
        <w:rPr>
          <w:rFonts w:hint="eastAsia" w:ascii="宋体" w:hAnsi="宋体" w:eastAsia="宋体" w:cs="宋体"/>
          <w:i w:val="0"/>
          <w:iCs w:val="0"/>
          <w:caps w:val="0"/>
          <w:color w:val="auto"/>
          <w:spacing w:val="0"/>
          <w:sz w:val="24"/>
          <w:szCs w:val="24"/>
          <w:shd w:val="clear" w:color="auto" w:fill="FFFFFF"/>
          <w:vertAlign w:val="baseline"/>
        </w:rPr>
        <w:t>《财政部、司法部关于政府采购支持监狱企业发展有关问题的通知》（财库[2014]68号）；</w:t>
      </w:r>
    </w:p>
    <w:p w14:paraId="53935ABC">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（2）</w:t>
      </w:r>
      <w:r>
        <w:rPr>
          <w:rFonts w:hint="eastAsia" w:ascii="宋体" w:hAnsi="宋体" w:eastAsia="宋体" w:cs="宋体"/>
          <w:i w:val="0"/>
          <w:iCs w:val="0"/>
          <w:caps w:val="0"/>
          <w:color w:val="auto"/>
          <w:spacing w:val="0"/>
          <w:sz w:val="24"/>
          <w:szCs w:val="24"/>
          <w:shd w:val="clear" w:color="auto" w:fill="FFFFFF"/>
          <w:vertAlign w:val="baseline"/>
        </w:rPr>
        <w:t>《三部门联合发布关于促进残疾人就业政府采购政策的通知》（财库[2017]141号）；</w:t>
      </w:r>
    </w:p>
    <w:p w14:paraId="01F00B7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（3）</w:t>
      </w:r>
      <w:r>
        <w:rPr>
          <w:rFonts w:hint="eastAsia" w:ascii="宋体" w:hAnsi="宋体" w:eastAsia="宋体" w:cs="宋体"/>
          <w:i w:val="0"/>
          <w:iCs w:val="0"/>
          <w:caps w:val="0"/>
          <w:color w:val="auto"/>
          <w:spacing w:val="0"/>
          <w:sz w:val="24"/>
          <w:szCs w:val="24"/>
          <w:shd w:val="clear" w:color="auto" w:fill="FFFFFF"/>
          <w:vertAlign w:val="baseline"/>
        </w:rPr>
        <w:t>《政府采购促进中小企业发展管理办法》（财库[2020]46号）；</w:t>
      </w:r>
    </w:p>
    <w:p w14:paraId="4D0EABC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（4）《关于进一步加大政府采购支持中小企业力度的通知》（财库〔2022〕19号）；</w:t>
      </w:r>
    </w:p>
    <w:p w14:paraId="2ED073AC">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（5）宝鸡市财政局关于中、省《进一步加大政府采购支持中小企业力度的通知》落实措施的通知（宝市财办采（2022）9号）；</w:t>
      </w:r>
    </w:p>
    <w:p w14:paraId="157F0E6F">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（6）《陕西省财政厅关于落实政府采购支持中小企业政策有关事项的通知》（陕财办采函〔2022〕10号）；</w:t>
      </w:r>
    </w:p>
    <w:p w14:paraId="41688B1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（7）关于印发环境标志产品政府采购品目清单的通知（财库〔2019〕18号）；</w:t>
      </w:r>
    </w:p>
    <w:p w14:paraId="29CBDC8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（8）关于印发节能产品政府采购品目清单的通知（财库〔2019〕19号）；</w:t>
      </w:r>
    </w:p>
    <w:p w14:paraId="70CF6778">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（9）《国务院办公厅关于建立政府强制采购节能产品制度的通知》（国办发[2007]51号）；</w:t>
      </w:r>
    </w:p>
    <w:p w14:paraId="54774BD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（10）《财政部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发展改革委</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生态环境部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市场监管总局关于调整优化节能产品、环境标志产品政府采购执行机制的通知》（财库[2019]9号）；</w:t>
      </w:r>
    </w:p>
    <w:p w14:paraId="0D67372E">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（11）《关于发布参与实施政府采购节能产品、环境标志产品认证机构名录的公告》—2019年第16号；</w:t>
      </w:r>
    </w:p>
    <w:p w14:paraId="218ECEF2">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（12）《关于运用政府采购政策支持乡村产业振兴的通知》（财库〔2021〕19号）；</w:t>
      </w:r>
    </w:p>
    <w:p w14:paraId="51F6D30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（13）陕西省财政厅关于印发《陕西省中小企业政府采购信用融资办法》（陕财办采[2018]23号）；</w:t>
      </w:r>
    </w:p>
    <w:p w14:paraId="2909CAAD">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（14）《陕西省财政厅关于加快推进我省中小企业政府采购信用融资工作的通知》（陕财办采〔2020〕15号）；</w:t>
      </w:r>
    </w:p>
    <w:p w14:paraId="271FC88F">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（15）《陕西省财政厅关于进一步优化政府采购营商环境有关事项的通知》（陕财办采〔2023〕4号）；</w:t>
      </w:r>
    </w:p>
    <w:p w14:paraId="599C0AD0">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（16）《关于进一步落实政府采购支持中小企业相关政策的通知》(陕财办采(2023)3号)；</w:t>
      </w:r>
    </w:p>
    <w:p w14:paraId="1ED899E9">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default" w:ascii="宋体" w:hAnsi="宋体" w:eastAsia="宋体" w:cs="宋体"/>
          <w:i w:val="0"/>
          <w:iCs w:val="0"/>
          <w:caps w:val="0"/>
          <w:color w:val="auto"/>
          <w:spacing w:val="0"/>
          <w:sz w:val="24"/>
          <w:szCs w:val="24"/>
          <w:shd w:val="clear" w:color="auto" w:fill="FFFFFF"/>
          <w:vertAlign w:val="baseline"/>
          <w:lang w:val="en-US" w:eastAsia="zh-CN"/>
        </w:rPr>
      </w:pPr>
      <w:r>
        <w:rPr>
          <w:rFonts w:hint="eastAsia" w:ascii="宋体" w:hAnsi="宋体" w:eastAsia="宋体" w:cs="宋体"/>
          <w:i w:val="0"/>
          <w:iCs w:val="0"/>
          <w:caps w:val="0"/>
          <w:color w:val="auto"/>
          <w:spacing w:val="0"/>
          <w:sz w:val="24"/>
          <w:szCs w:val="24"/>
          <w:shd w:val="clear" w:color="auto" w:fill="FFFFFF"/>
          <w:vertAlign w:val="baseline"/>
          <w:lang w:eastAsia="zh-CN"/>
        </w:rPr>
        <w:t>（</w:t>
      </w:r>
      <w:r>
        <w:rPr>
          <w:rFonts w:hint="eastAsia" w:ascii="宋体" w:hAnsi="宋体" w:eastAsia="宋体" w:cs="宋体"/>
          <w:i w:val="0"/>
          <w:iCs w:val="0"/>
          <w:caps w:val="0"/>
          <w:color w:val="auto"/>
          <w:spacing w:val="0"/>
          <w:sz w:val="24"/>
          <w:szCs w:val="24"/>
          <w:shd w:val="clear" w:color="auto" w:fill="FFFFFF"/>
          <w:vertAlign w:val="baseline"/>
          <w:lang w:val="en-US" w:eastAsia="zh-CN"/>
        </w:rPr>
        <w:t>17）《关于推动解决政府采购异常低价问题的通知》（财库〔2026〕2号）；</w:t>
      </w:r>
    </w:p>
    <w:p w14:paraId="198889B1">
      <w:pPr>
        <w:pStyle w:val="32"/>
        <w:widowControl/>
        <w:wordWrap w:val="0"/>
        <w:spacing w:line="560" w:lineRule="exact"/>
        <w:ind w:firstLine="480"/>
        <w:jc w:val="both"/>
        <w:rPr>
          <w:rFonts w:hint="eastAsia" w:ascii="宋体" w:hAnsi="宋体" w:eastAsia="宋体" w:cs="宋体"/>
          <w:i w:val="0"/>
          <w:iCs w:val="0"/>
          <w:caps w:val="0"/>
          <w:color w:val="auto"/>
          <w:spacing w:val="0"/>
          <w:sz w:val="24"/>
          <w:szCs w:val="24"/>
          <w:shd w:val="clear" w:color="auto" w:fill="FFFFFF"/>
          <w:vertAlign w:val="baseline"/>
          <w:lang w:val="en-US" w:eastAsia="zh-CN"/>
        </w:rPr>
      </w:pPr>
      <w:r>
        <w:rPr>
          <w:rFonts w:hint="eastAsia" w:ascii="宋体" w:hAnsi="宋体" w:eastAsia="宋体" w:cs="宋体"/>
          <w:i w:val="0"/>
          <w:iCs w:val="0"/>
          <w:caps w:val="0"/>
          <w:color w:val="auto"/>
          <w:spacing w:val="0"/>
          <w:sz w:val="24"/>
          <w:szCs w:val="24"/>
          <w:shd w:val="clear" w:color="auto" w:fill="FFFFFF"/>
          <w:vertAlign w:val="baseline"/>
          <w:lang w:val="en-US" w:eastAsia="zh-CN"/>
        </w:rPr>
        <w:t>（18）其他需要落实的最新政府采购政策。</w:t>
      </w:r>
    </w:p>
    <w:p w14:paraId="01E61726">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3.本项目的特定资格要求：</w:t>
      </w:r>
    </w:p>
    <w:p w14:paraId="28DD1E5C">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合同包1(</w:t>
      </w:r>
      <w:r>
        <w:rPr>
          <w:rFonts w:hint="eastAsia" w:asciiTheme="majorEastAsia" w:hAnsiTheme="majorEastAsia" w:eastAsiaTheme="majorEastAsia" w:cstheme="majorEastAsia"/>
          <w:sz w:val="24"/>
          <w:szCs w:val="24"/>
          <w:highlight w:val="none"/>
          <w:shd w:val="clear" w:color="auto" w:fill="FFFFFF"/>
          <w:lang w:eastAsia="zh-CN"/>
        </w:rPr>
        <w:t>千阳县2026年度取水口监测计量项目</w:t>
      </w:r>
      <w:r>
        <w:rPr>
          <w:rFonts w:hint="eastAsia" w:asciiTheme="majorEastAsia" w:hAnsiTheme="majorEastAsia" w:eastAsiaTheme="majorEastAsia" w:cstheme="majorEastAsia"/>
          <w:sz w:val="24"/>
          <w:szCs w:val="24"/>
          <w:highlight w:val="none"/>
          <w:shd w:val="clear" w:color="auto" w:fill="FFFFFF"/>
        </w:rPr>
        <w:t>)特定资格要求如下:</w:t>
      </w:r>
    </w:p>
    <w:p w14:paraId="0C6C9009">
      <w:pPr>
        <w:pStyle w:val="32"/>
        <w:widowControl/>
        <w:numPr>
          <w:ilvl w:val="0"/>
          <w:numId w:val="0"/>
        </w:numPr>
        <w:wordWrap w:val="0"/>
        <w:spacing w:line="560" w:lineRule="exact"/>
        <w:ind w:firstLine="480" w:firstLineChars="200"/>
        <w:jc w:val="both"/>
        <w:rPr>
          <w:rFonts w:hint="eastAsia"/>
          <w:highlight w:val="none"/>
        </w:rPr>
      </w:pPr>
      <w:r>
        <w:rPr>
          <w:rFonts w:hint="eastAsia" w:asciiTheme="majorEastAsia" w:hAnsiTheme="majorEastAsia" w:eastAsiaTheme="majorEastAsia" w:cstheme="majorEastAsia"/>
          <w:sz w:val="24"/>
          <w:szCs w:val="24"/>
          <w:highlight w:val="none"/>
          <w:shd w:val="clear" w:color="auto" w:fill="FFFFFF"/>
          <w:lang w:val="en-US" w:eastAsia="zh-CN"/>
        </w:rPr>
        <w:t>1）</w:t>
      </w: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446A88AE">
      <w:pPr>
        <w:pStyle w:val="32"/>
        <w:widowControl/>
        <w:numPr>
          <w:ilvl w:val="0"/>
          <w:numId w:val="0"/>
        </w:numPr>
        <w:wordWrap w:val="0"/>
        <w:spacing w:line="560" w:lineRule="exact"/>
        <w:ind w:firstLine="480" w:firstLineChars="200"/>
        <w:jc w:val="both"/>
        <w:rPr>
          <w:rFonts w:hint="eastAsia" w:eastAsiaTheme="majorEastAsia"/>
          <w:highlight w:val="none"/>
          <w:lang w:eastAsia="zh-CN"/>
        </w:rPr>
      </w:pPr>
      <w:r>
        <w:rPr>
          <w:rFonts w:hint="eastAsia" w:asciiTheme="majorEastAsia" w:hAnsiTheme="majorEastAsia" w:eastAsiaTheme="majorEastAsia" w:cstheme="majorEastAsia"/>
          <w:sz w:val="24"/>
          <w:szCs w:val="24"/>
          <w:highlight w:val="none"/>
          <w:shd w:val="clear" w:color="auto" w:fill="FFFFFF"/>
          <w:lang w:val="en-US" w:eastAsia="zh-CN"/>
        </w:rPr>
        <w:t>2</w:t>
      </w:r>
      <w:r>
        <w:rPr>
          <w:rFonts w:hint="eastAsia" w:asciiTheme="majorEastAsia" w:hAnsiTheme="majorEastAsia" w:eastAsiaTheme="majorEastAsia" w:cstheme="majorEastAsia"/>
          <w:sz w:val="24"/>
          <w:szCs w:val="24"/>
          <w:highlight w:val="none"/>
          <w:shd w:val="clear" w:color="auto" w:fill="FFFFFF"/>
        </w:rPr>
        <w:t>）财务状况报告：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0D24492D">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w:t>
      </w:r>
      <w:r>
        <w:rPr>
          <w:rFonts w:hint="eastAsia" w:asciiTheme="majorEastAsia" w:hAnsiTheme="majorEastAsia" w:eastAsiaTheme="majorEastAsia" w:cstheme="majorEastAsia"/>
          <w:sz w:val="24"/>
          <w:szCs w:val="24"/>
          <w:highlight w:val="none"/>
          <w:shd w:val="clear" w:color="auto" w:fill="FFFFFF"/>
          <w:lang w:eastAsia="zh-CN"/>
        </w:rPr>
        <w:t>供应商须提供2025年04月至今已缴存的连续六个月的社会保障资金缴存单据或社保机构开具的社会保险参保缴费情况证明，依法不需要缴纳社会保障资金的单位应提供相关证明材料；</w:t>
      </w:r>
    </w:p>
    <w:p w14:paraId="06BC0433">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w:t>
      </w:r>
      <w:r>
        <w:rPr>
          <w:rFonts w:hint="eastAsia" w:asciiTheme="majorEastAsia" w:hAnsiTheme="majorEastAsia" w:eastAsiaTheme="majorEastAsia" w:cstheme="majorEastAsia"/>
          <w:sz w:val="24"/>
          <w:szCs w:val="24"/>
          <w:highlight w:val="none"/>
          <w:shd w:val="clear" w:color="auto" w:fill="FFFFFF"/>
          <w:lang w:eastAsia="zh-CN"/>
        </w:rPr>
        <w:t>供应商须提供2025年04月至今已缴存的连续六个月的纳税证明或完税证明，依法免税的单位应提供相关证明材料；</w:t>
      </w:r>
    </w:p>
    <w:p w14:paraId="49A035CA">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供应商未被列入“信用中国”网站重大税收违法失信主体，供应商未被列入“中国执行信息公开网”网站失信被执行人；未被列入“中国政府采购网”政府采购严重违法失信行为信息记录；</w:t>
      </w:r>
    </w:p>
    <w:p w14:paraId="22D67EF6">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6D92EADF">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656F331D">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w:t>
      </w:r>
      <w:r>
        <w:rPr>
          <w:rFonts w:hint="eastAsia" w:asciiTheme="majorEastAsia" w:hAnsiTheme="majorEastAsia" w:eastAsiaTheme="majorEastAsia" w:cstheme="majorEastAsia"/>
          <w:sz w:val="24"/>
          <w:szCs w:val="24"/>
          <w:highlight w:val="none"/>
          <w:shd w:val="clear" w:color="auto" w:fill="FFFFFF"/>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1404C9CB">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7A6F8CD0">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6BE5501A">
      <w:pPr>
        <w:pStyle w:val="32"/>
        <w:widowControl/>
        <w:wordWrap w:val="0"/>
        <w:spacing w:line="560" w:lineRule="exact"/>
        <w:jc w:val="both"/>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三、获取采购文件</w:t>
      </w:r>
    </w:p>
    <w:p w14:paraId="55C32B69">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时间：</w:t>
      </w:r>
      <w:r>
        <w:rPr>
          <w:rFonts w:hint="eastAsia" w:asciiTheme="majorEastAsia" w:hAnsiTheme="majorEastAsia" w:eastAsiaTheme="majorEastAsia" w:cstheme="majorEastAsia"/>
          <w:sz w:val="24"/>
          <w:szCs w:val="24"/>
          <w:highlight w:val="none"/>
          <w:shd w:val="clear" w:color="auto" w:fill="FFFFFF"/>
          <w:lang w:eastAsia="zh-CN"/>
        </w:rPr>
        <w:t>2026年04月29日至2026年05月08日</w:t>
      </w:r>
      <w:r>
        <w:rPr>
          <w:rFonts w:hint="eastAsia" w:asciiTheme="majorEastAsia" w:hAnsiTheme="majorEastAsia" w:eastAsiaTheme="majorEastAsia" w:cstheme="majorEastAsia"/>
          <w:sz w:val="24"/>
          <w:szCs w:val="24"/>
          <w:highlight w:val="none"/>
          <w:shd w:val="clear" w:color="auto" w:fill="FFFFFF"/>
        </w:rPr>
        <w:t>，每天上午09:00:00至12:00:00，下午14:00:00至17:00:00（北京时间）</w:t>
      </w:r>
    </w:p>
    <w:p w14:paraId="0629021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途径：【全国公共资源交易平台（陕西省·宝鸡市）】（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w:t>
      </w:r>
    </w:p>
    <w:p w14:paraId="2CD9B8FB">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方式：在线获取</w:t>
      </w:r>
    </w:p>
    <w:p w14:paraId="7E4F8152">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售价：0元</w:t>
      </w:r>
    </w:p>
    <w:p w14:paraId="02E48EF2">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四、响应文件提交</w:t>
      </w:r>
    </w:p>
    <w:p w14:paraId="7952E4DD">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截止时间：</w:t>
      </w:r>
      <w:r>
        <w:rPr>
          <w:rFonts w:hint="eastAsia" w:asciiTheme="majorEastAsia" w:hAnsiTheme="majorEastAsia" w:eastAsiaTheme="majorEastAsia" w:cstheme="majorEastAsia"/>
          <w:sz w:val="24"/>
          <w:szCs w:val="24"/>
          <w:highlight w:val="none"/>
          <w:shd w:val="clear" w:color="auto" w:fill="FFFFFF"/>
          <w:lang w:eastAsia="zh-CN"/>
        </w:rPr>
        <w:t>2026年05月13日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0分00秒（北京时间）</w:t>
      </w:r>
    </w:p>
    <w:p w14:paraId="0275988B">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地点：全国公共资源交易平台（陕西省.宝鸡市）宝鸡市公共资源交易中心</w:t>
      </w:r>
    </w:p>
    <w:p w14:paraId="7CD15268">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五、开启</w:t>
      </w:r>
    </w:p>
    <w:p w14:paraId="6E7C75F3">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时间：</w:t>
      </w:r>
      <w:r>
        <w:rPr>
          <w:rFonts w:hint="eastAsia" w:asciiTheme="majorEastAsia" w:hAnsiTheme="majorEastAsia" w:eastAsiaTheme="majorEastAsia" w:cstheme="majorEastAsia"/>
          <w:sz w:val="24"/>
          <w:szCs w:val="24"/>
          <w:highlight w:val="none"/>
          <w:shd w:val="clear" w:color="auto" w:fill="FFFFFF"/>
          <w:lang w:eastAsia="zh-CN"/>
        </w:rPr>
        <w:t>2026年05月13日</w:t>
      </w:r>
      <w:r>
        <w:rPr>
          <w:rFonts w:hint="eastAsia" w:asciiTheme="majorEastAsia" w:hAnsiTheme="majorEastAsia" w:eastAsiaTheme="majorEastAsia" w:cstheme="majorEastAsia"/>
          <w:sz w:val="24"/>
          <w:szCs w:val="24"/>
          <w:highlight w:val="none"/>
          <w:shd w:val="clear" w:color="auto" w:fill="FFFFFF"/>
          <w:lang w:val="en-US" w:eastAsia="zh-CN"/>
        </w:rPr>
        <w:t>09</w:t>
      </w:r>
      <w:r>
        <w:rPr>
          <w:rFonts w:hint="eastAsia" w:asciiTheme="majorEastAsia" w:hAnsiTheme="majorEastAsia" w:eastAsiaTheme="majorEastAsia" w:cstheme="majorEastAsia"/>
          <w:sz w:val="24"/>
          <w:szCs w:val="24"/>
          <w:highlight w:val="none"/>
          <w:shd w:val="clear" w:color="auto" w:fill="FFFFFF"/>
        </w:rPr>
        <w:t>时</w:t>
      </w:r>
      <w:r>
        <w:rPr>
          <w:rFonts w:hint="eastAsia" w:asciiTheme="majorEastAsia" w:hAnsiTheme="majorEastAsia" w:eastAsiaTheme="majorEastAsia" w:cstheme="majorEastAsia"/>
          <w:sz w:val="24"/>
          <w:szCs w:val="24"/>
          <w:highlight w:val="none"/>
          <w:shd w:val="clear" w:color="auto" w:fill="FFFFFF"/>
          <w:lang w:val="en-US" w:eastAsia="zh-CN"/>
        </w:rPr>
        <w:t>0</w:t>
      </w:r>
      <w:r>
        <w:rPr>
          <w:rFonts w:hint="eastAsia" w:asciiTheme="majorEastAsia" w:hAnsiTheme="majorEastAsia" w:eastAsiaTheme="majorEastAsia" w:cstheme="majorEastAsia"/>
          <w:sz w:val="24"/>
          <w:szCs w:val="24"/>
          <w:highlight w:val="none"/>
          <w:shd w:val="clear" w:color="auto" w:fill="FFFFFF"/>
        </w:rPr>
        <w:t>0分00秒（北京时间）</w:t>
      </w:r>
    </w:p>
    <w:p w14:paraId="523392FA">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rPr>
        <w:t>地点：</w:t>
      </w:r>
      <w:r>
        <w:rPr>
          <w:rFonts w:hint="eastAsia" w:asciiTheme="majorEastAsia" w:hAnsiTheme="majorEastAsia" w:eastAsiaTheme="majorEastAsia" w:cstheme="majorEastAsia"/>
          <w:sz w:val="24"/>
          <w:szCs w:val="24"/>
          <w:highlight w:val="none"/>
        </w:rPr>
        <w:t>全国公共资源交易平台（陕西省.宝鸡市）不见面开标大</w:t>
      </w:r>
      <w:r>
        <w:rPr>
          <w:rFonts w:hint="eastAsia" w:asciiTheme="majorEastAsia" w:hAnsiTheme="majorEastAsia" w:eastAsiaTheme="majorEastAsia" w:cstheme="majorEastAsia"/>
          <w:sz w:val="24"/>
          <w:szCs w:val="24"/>
        </w:rPr>
        <w:t>厅系统</w:t>
      </w:r>
    </w:p>
    <w:p w14:paraId="460A13F7">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六、公告期限</w:t>
      </w:r>
    </w:p>
    <w:p w14:paraId="61502B48">
      <w:pPr>
        <w:pStyle w:val="32"/>
        <w:widowControl/>
        <w:wordWrap w:val="0"/>
        <w:spacing w:line="560" w:lineRule="exact"/>
        <w:ind w:firstLine="48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自本公告发布之日起3个工作日。</w:t>
      </w:r>
    </w:p>
    <w:p w14:paraId="6DAFF368">
      <w:pPr>
        <w:widowControl/>
        <w:numPr>
          <w:ilvl w:val="3"/>
          <w:numId w:val="0"/>
        </w:numPr>
        <w:wordWrap w:val="0"/>
        <w:spacing w:line="560" w:lineRule="exact"/>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七、其他补充事宜</w:t>
      </w:r>
    </w:p>
    <w:p w14:paraId="6408003A">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lang w:eastAsia="zh-CN"/>
        </w:rPr>
      </w:pPr>
      <w:r>
        <w:rPr>
          <w:rFonts w:hint="eastAsia" w:ascii="宋体" w:hAnsi="宋体" w:eastAsia="宋体" w:cs="宋体"/>
          <w:highlight w:val="none"/>
          <w:shd w:val="clear" w:color="auto" w:fill="FFFFFF"/>
        </w:rPr>
        <w:t>1、本次采购公告在《陕西省政府采购网》、《陕西省公共资源交易中心（陕西省▪宝鸡市）》同时发布</w:t>
      </w:r>
      <w:r>
        <w:rPr>
          <w:rFonts w:hint="eastAsia" w:ascii="宋体" w:hAnsi="宋体" w:eastAsia="宋体" w:cs="宋体"/>
          <w:highlight w:val="none"/>
          <w:shd w:val="clear" w:color="auto" w:fill="FFFFFF"/>
          <w:lang w:eastAsia="zh-CN"/>
        </w:rPr>
        <w:t>；</w:t>
      </w:r>
    </w:p>
    <w:p w14:paraId="114C8375">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2、请供应商按照陕西省财政厅关于政府采购供应商注册登记有关事项的通知中的要求，通过陕西省政府采购网（http://www.ccgp-shaanxi.gov.cn/）注册登记加入陕西省政府采购供应商库及办理供应商入库申请并及时办理CA数字证书（陕西CA锁）</w:t>
      </w:r>
      <w:r>
        <w:rPr>
          <w:rFonts w:hint="eastAsia" w:ascii="宋体" w:hAnsi="宋体" w:eastAsia="宋体" w:cs="宋体"/>
          <w:shd w:val="clear" w:color="auto" w:fill="FFFFFF"/>
          <w:lang w:eastAsia="zh-CN"/>
        </w:rPr>
        <w:t>；</w:t>
      </w:r>
    </w:p>
    <w:p w14:paraId="218BE69E">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3、各供应商使用CA证书登录全国公共资源交易平台（陕西省宝鸡市）宝鸡市公共资源交易中心（http://ggzy.baoji.gov.cn/）交易平台〖首页〉电子交易平台〉企业端〗后，在〖招标公告/出让公告〗模块中选择有意向的项目点击“我要</w:t>
      </w:r>
      <w:r>
        <w:rPr>
          <w:rFonts w:hint="eastAsia" w:ascii="宋体" w:hAnsi="宋体" w:eastAsia="宋体" w:cs="宋体"/>
          <w:shd w:val="clear" w:color="auto" w:fill="FFFFFF"/>
          <w:lang w:val="en-US" w:eastAsia="zh-CN"/>
        </w:rPr>
        <w:t>投标</w:t>
      </w:r>
      <w:r>
        <w:rPr>
          <w:rFonts w:hint="eastAsia" w:ascii="宋体" w:hAnsi="宋体" w:eastAsia="宋体" w:cs="宋体"/>
          <w:shd w:val="clear" w:color="auto" w:fill="FFFFFF"/>
        </w:rPr>
        <w:t>”</w:t>
      </w:r>
      <w:r>
        <w:rPr>
          <w:rFonts w:hint="eastAsia" w:ascii="宋体" w:hAnsi="宋体" w:eastAsia="宋体" w:cs="宋体"/>
          <w:shd w:val="clear" w:color="auto" w:fill="FFFFFF"/>
          <w:lang w:eastAsia="zh-CN"/>
        </w:rPr>
        <w:t>；</w:t>
      </w:r>
    </w:p>
    <w:p w14:paraId="662EC17C">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4、</w:t>
      </w:r>
      <w:r>
        <w:rPr>
          <w:rFonts w:hint="eastAsia" w:ascii="宋体" w:hAnsi="宋体" w:eastAsia="宋体" w:cs="宋体"/>
          <w:shd w:val="clear" w:color="auto" w:fill="FFFFFF"/>
          <w:lang w:val="en-US" w:eastAsia="zh-CN"/>
        </w:rPr>
        <w:t>获取</w:t>
      </w:r>
      <w:r>
        <w:rPr>
          <w:rFonts w:hint="eastAsia" w:ascii="宋体" w:hAnsi="宋体" w:eastAsia="宋体" w:cs="宋体"/>
          <w:shd w:val="clear" w:color="auto" w:fill="FFFFFF"/>
        </w:rPr>
        <w:t>成功后可从〖我的项目〉项目流程〉交易文件下载〗中下载电子文件（*.SXSZF格式）</w:t>
      </w:r>
      <w:r>
        <w:rPr>
          <w:rFonts w:hint="eastAsia" w:ascii="宋体" w:hAnsi="宋体" w:eastAsia="宋体" w:cs="宋体"/>
          <w:shd w:val="clear" w:color="auto" w:fill="FFFFFF"/>
          <w:lang w:eastAsia="zh-CN"/>
        </w:rPr>
        <w:t>；</w:t>
      </w:r>
    </w:p>
    <w:p w14:paraId="4E6FD4A1">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5、供应商在网上填写的单位信息（单位名称、营业执照相关信息）应与</w:t>
      </w:r>
      <w:r>
        <w:rPr>
          <w:rFonts w:hint="eastAsia" w:ascii="宋体" w:hAnsi="宋体" w:eastAsia="宋体" w:cs="宋体"/>
          <w:shd w:val="clear" w:color="auto" w:fill="FFFFFF"/>
          <w:lang w:val="en-US" w:eastAsia="zh-CN"/>
        </w:rPr>
        <w:t>竞争性磋商</w:t>
      </w:r>
      <w:r>
        <w:rPr>
          <w:rFonts w:hint="eastAsia" w:ascii="宋体" w:hAnsi="宋体" w:eastAsia="宋体" w:cs="宋体"/>
          <w:shd w:val="clear" w:color="auto" w:fill="FFFFFF"/>
        </w:rPr>
        <w:t>文件要求及后期上传的电子磋商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文件中相关信息一致，否则造成资格审查不通过的后果供应商自负</w:t>
      </w:r>
      <w:r>
        <w:rPr>
          <w:rFonts w:hint="eastAsia" w:ascii="宋体" w:hAnsi="宋体" w:eastAsia="宋体" w:cs="宋体"/>
          <w:shd w:val="clear" w:color="auto" w:fill="FFFFFF"/>
          <w:lang w:eastAsia="zh-CN"/>
        </w:rPr>
        <w:t>；</w:t>
      </w:r>
    </w:p>
    <w:p w14:paraId="5920A0C4">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6、本项目采用电子化不见面开标方式，各供应商可登录全国公共资源交易平台（陕西省·宝鸡市）宝鸡市公共资源交易中心（http://ggzy.baoji.gov.cn/）下载《政府采购电子标书制作工具》、《政府采购磋商单位操作手册》和《宝鸡市不见面大厅供应商操作手册》,按照流程制作电子标书并在磋商截止时间前上传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w:t>
      </w:r>
      <w:r>
        <w:rPr>
          <w:rFonts w:hint="eastAsia" w:ascii="宋体" w:hAnsi="宋体" w:eastAsia="宋体" w:cs="宋体"/>
          <w:shd w:val="clear" w:color="auto" w:fill="FFFFFF"/>
          <w:lang w:eastAsia="zh-CN"/>
        </w:rPr>
        <w:t>；</w:t>
      </w:r>
    </w:p>
    <w:p w14:paraId="1D9859FE">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7、为了保证远程不见面开标顺利进行，供应商需使用电脑提前一小时登录网络开标大厅</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因供应商自身</w:t>
      </w:r>
      <w:r>
        <w:rPr>
          <w:rFonts w:hint="eastAsia" w:ascii="宋体" w:hAnsi="宋体" w:eastAsia="宋体" w:cs="宋体"/>
          <w:shd w:val="clear" w:color="auto" w:fill="FFFFFF"/>
          <w:lang w:val="en-US" w:eastAsia="zh-CN"/>
        </w:rPr>
        <w:t>电脑设备</w:t>
      </w:r>
      <w:r>
        <w:rPr>
          <w:rFonts w:hint="eastAsia" w:ascii="宋体" w:hAnsi="宋体" w:eastAsia="宋体" w:cs="宋体"/>
          <w:shd w:val="clear" w:color="auto" w:fill="FFFFFF"/>
        </w:rPr>
        <w:t>故障或自身原因导致无法完成磋商的，由供应商自行承担后果（建议使用IE11或者360极速浏览器兼容模式，磋商单位电脑需配备耳麦）</w:t>
      </w:r>
      <w:r>
        <w:rPr>
          <w:rFonts w:hint="eastAsia" w:ascii="宋体" w:hAnsi="宋体" w:eastAsia="宋体" w:cs="宋体"/>
          <w:shd w:val="clear" w:color="auto" w:fill="FFFFFF"/>
          <w:lang w:eastAsia="zh-CN"/>
        </w:rPr>
        <w:t>；</w:t>
      </w:r>
    </w:p>
    <w:p w14:paraId="5E9061C7">
      <w:pPr>
        <w:pStyle w:val="32"/>
        <w:widowControl/>
        <w:wordWrap w:val="0"/>
        <w:spacing w:line="360" w:lineRule="auto"/>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8、</w:t>
      </w:r>
      <w:r>
        <w:rPr>
          <w:rFonts w:hint="eastAsia" w:ascii="宋体" w:hAnsi="宋体" w:eastAsia="宋体" w:cs="宋体"/>
          <w:shd w:val="clear" w:color="auto" w:fill="FFFFFF"/>
          <w:lang w:val="en-US" w:eastAsia="zh-CN"/>
        </w:rPr>
        <w:t>供应商</w:t>
      </w:r>
      <w:r>
        <w:rPr>
          <w:rFonts w:hint="eastAsia" w:ascii="宋体" w:hAnsi="宋体" w:eastAsia="宋体" w:cs="宋体"/>
          <w:shd w:val="clear" w:color="auto" w:fill="FFFFFF"/>
        </w:rPr>
        <w:t>未完成网上磋商或未在规定时间内在平台上下载电子</w:t>
      </w:r>
      <w:r>
        <w:rPr>
          <w:rFonts w:hint="eastAsia" w:ascii="宋体" w:hAnsi="宋体" w:eastAsia="宋体" w:cs="宋体"/>
          <w:shd w:val="clear" w:color="auto" w:fill="FFFFFF"/>
          <w:lang w:val="en-US" w:eastAsia="zh-CN"/>
        </w:rPr>
        <w:t>竞争性磋商</w:t>
      </w:r>
      <w:r>
        <w:rPr>
          <w:rFonts w:hint="eastAsia" w:ascii="宋体" w:hAnsi="宋体" w:eastAsia="宋体" w:cs="宋体"/>
          <w:shd w:val="clear" w:color="auto" w:fill="FFFFFF"/>
        </w:rPr>
        <w:t>文件的，导致无法完成后续流程的责任自负</w:t>
      </w:r>
      <w:r>
        <w:rPr>
          <w:rFonts w:hint="eastAsia" w:ascii="宋体" w:hAnsi="宋体" w:eastAsia="宋体" w:cs="宋体"/>
          <w:shd w:val="clear" w:color="auto" w:fill="FFFFFF"/>
          <w:lang w:eastAsia="zh-CN"/>
        </w:rPr>
        <w:t>；</w:t>
      </w:r>
    </w:p>
    <w:p w14:paraId="401EBB2F">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lang w:val="en-US" w:eastAsia="zh-CN"/>
        </w:rPr>
        <w:t>9、</w:t>
      </w:r>
      <w:r>
        <w:rPr>
          <w:rFonts w:hint="default" w:ascii="宋体" w:hAnsi="宋体" w:eastAsia="宋体" w:cs="宋体"/>
          <w:shd w:val="clear" w:color="auto" w:fill="FFFFFF"/>
        </w:rPr>
        <w:t>质疑与投诉联系方式：</w:t>
      </w:r>
    </w:p>
    <w:p w14:paraId="175C7D94">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采购人行业监管部门</w:t>
      </w:r>
    </w:p>
    <w:p w14:paraId="23D478F6">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名称：</w:t>
      </w:r>
      <w:r>
        <w:rPr>
          <w:rFonts w:hint="eastAsia" w:ascii="宋体" w:hAnsi="宋体" w:eastAsia="宋体" w:cs="宋体"/>
          <w:shd w:val="clear" w:color="auto" w:fill="FFFFFF"/>
          <w:lang w:val="en-US" w:eastAsia="zh-CN"/>
        </w:rPr>
        <w:t>千阳县</w:t>
      </w:r>
      <w:r>
        <w:rPr>
          <w:rFonts w:hint="default" w:ascii="宋体" w:hAnsi="宋体" w:eastAsia="宋体" w:cs="宋体"/>
          <w:shd w:val="clear" w:color="auto" w:fill="FFFFFF"/>
        </w:rPr>
        <w:t>水利局</w:t>
      </w:r>
    </w:p>
    <w:p w14:paraId="7EE6585E">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地址：</w:t>
      </w:r>
      <w:r>
        <w:rPr>
          <w:rFonts w:hint="default" w:ascii="宋体" w:hAnsi="宋体" w:eastAsia="宋体" w:cs="宋体"/>
          <w:shd w:val="clear" w:color="auto" w:fill="FFFFFF"/>
          <w:lang w:eastAsia="zh-CN"/>
        </w:rPr>
        <w:t>宝鸡市千阳县南关路83号</w:t>
      </w:r>
    </w:p>
    <w:p w14:paraId="18F0BBA3">
      <w:pPr>
        <w:pStyle w:val="32"/>
        <w:widowControl/>
        <w:wordWrap w:val="0"/>
        <w:spacing w:line="360" w:lineRule="auto"/>
        <w:ind w:firstLine="480"/>
        <w:jc w:val="both"/>
        <w:textAlignment w:val="baseline"/>
        <w:rPr>
          <w:rFonts w:hint="default" w:ascii="宋体" w:hAnsi="宋体" w:eastAsia="宋体" w:cs="宋体"/>
          <w:shd w:val="clear" w:color="auto" w:fill="FFFFFF"/>
          <w:lang w:val="en-US" w:eastAsia="zh-CN"/>
        </w:rPr>
      </w:pPr>
      <w:r>
        <w:rPr>
          <w:rFonts w:hint="default" w:ascii="宋体" w:hAnsi="宋体" w:eastAsia="宋体" w:cs="宋体"/>
          <w:shd w:val="clear" w:color="auto" w:fill="FFFFFF"/>
        </w:rPr>
        <w:t>联系方式：0917-4241635</w:t>
      </w:r>
    </w:p>
    <w:p w14:paraId="201D661A">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采购监管部门：</w:t>
      </w:r>
    </w:p>
    <w:p w14:paraId="6507E77E">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名称：</w:t>
      </w:r>
      <w:r>
        <w:rPr>
          <w:rFonts w:hint="eastAsia" w:ascii="宋体" w:hAnsi="宋体" w:eastAsia="宋体" w:cs="宋体"/>
          <w:shd w:val="clear" w:color="auto" w:fill="FFFFFF"/>
          <w:lang w:eastAsia="zh-CN"/>
        </w:rPr>
        <w:t>千阳县</w:t>
      </w:r>
      <w:r>
        <w:rPr>
          <w:rFonts w:hint="default" w:ascii="宋体" w:hAnsi="宋体" w:eastAsia="宋体" w:cs="宋体"/>
          <w:shd w:val="clear" w:color="auto" w:fill="FFFFFF"/>
        </w:rPr>
        <w:t>财政局采购管理股</w:t>
      </w:r>
    </w:p>
    <w:p w14:paraId="3D045254">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default" w:ascii="宋体" w:hAnsi="宋体" w:eastAsia="宋体" w:cs="宋体"/>
          <w:shd w:val="clear" w:color="auto" w:fill="FFFFFF"/>
        </w:rPr>
        <w:t>地址：千阳县东大街16号</w:t>
      </w:r>
    </w:p>
    <w:p w14:paraId="1AED3446">
      <w:pPr>
        <w:pStyle w:val="32"/>
        <w:widowControl/>
        <w:wordWrap w:val="0"/>
        <w:spacing w:line="360" w:lineRule="auto"/>
        <w:ind w:firstLine="480"/>
        <w:jc w:val="both"/>
        <w:textAlignment w:val="baseline"/>
        <w:rPr>
          <w:rFonts w:hint="default" w:ascii="宋体" w:hAnsi="宋体" w:eastAsia="宋体" w:cs="宋体"/>
          <w:shd w:val="clear" w:color="auto" w:fill="FFFFFF"/>
          <w:lang w:val="en-US" w:eastAsia="zh-CN"/>
        </w:rPr>
      </w:pPr>
      <w:r>
        <w:rPr>
          <w:rFonts w:hint="default" w:ascii="宋体" w:hAnsi="宋体" w:eastAsia="宋体" w:cs="宋体"/>
          <w:shd w:val="clear" w:color="auto" w:fill="FFFFFF"/>
        </w:rPr>
        <w:t>联系方式：</w:t>
      </w:r>
      <w:r>
        <w:rPr>
          <w:rFonts w:hint="default" w:ascii="宋体" w:hAnsi="宋体" w:eastAsia="宋体" w:cs="宋体"/>
          <w:highlight w:val="none"/>
          <w:shd w:val="clear" w:color="auto" w:fill="FFFFFF"/>
        </w:rPr>
        <w:t>0917-4</w:t>
      </w:r>
      <w:r>
        <w:rPr>
          <w:rFonts w:hint="default" w:ascii="宋体" w:hAnsi="宋体" w:eastAsia="宋体" w:cs="宋体"/>
          <w:highlight w:val="none"/>
          <w:shd w:val="clear" w:color="auto" w:fill="FFFFFF"/>
          <w:lang w:val="en-US" w:eastAsia="zh-CN"/>
        </w:rPr>
        <w:t>249705</w:t>
      </w:r>
    </w:p>
    <w:p w14:paraId="7B29D89C">
      <w:pPr>
        <w:pStyle w:val="32"/>
        <w:widowControl/>
        <w:wordWrap w:val="0"/>
        <w:spacing w:line="360" w:lineRule="auto"/>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lang w:val="en-US" w:eastAsia="zh-CN"/>
        </w:rPr>
        <w:t>10</w:t>
      </w:r>
      <w:r>
        <w:rPr>
          <w:rFonts w:hint="eastAsia" w:ascii="宋体" w:hAnsi="宋体" w:eastAsia="宋体" w:cs="宋体"/>
          <w:shd w:val="clear" w:color="auto" w:fill="FFFFFF"/>
        </w:rPr>
        <w:t>、电子磋商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文件制作软件技术支持热线：咨询电话:400-636-9888、029-88661267、029-88661266。</w:t>
      </w:r>
    </w:p>
    <w:p w14:paraId="0215B0B4">
      <w:pPr>
        <w:widowControl/>
        <w:numPr>
          <w:ilvl w:val="3"/>
          <w:numId w:val="0"/>
        </w:numPr>
        <w:wordWrap w:val="0"/>
        <w:spacing w:line="360" w:lineRule="auto"/>
        <w:jc w:val="left"/>
        <w:rPr>
          <w:rFonts w:hint="eastAsia" w:asciiTheme="majorEastAsia" w:hAnsiTheme="majorEastAsia" w:eastAsiaTheme="majorEastAsia" w:cstheme="majorEastAsia"/>
          <w:sz w:val="24"/>
          <w:szCs w:val="24"/>
          <w:highlight w:val="none"/>
        </w:rPr>
      </w:pPr>
      <w:r>
        <w:rPr>
          <w:rStyle w:val="40"/>
          <w:rFonts w:hint="eastAsia" w:asciiTheme="majorEastAsia" w:hAnsiTheme="majorEastAsia" w:eastAsiaTheme="majorEastAsia" w:cstheme="majorEastAsia"/>
          <w:sz w:val="24"/>
          <w:szCs w:val="24"/>
          <w:highlight w:val="none"/>
          <w:shd w:val="clear" w:color="auto" w:fill="FFFFFF"/>
        </w:rPr>
        <w:t>八、对本次招标提出询问，请按以下方式联系。</w:t>
      </w:r>
    </w:p>
    <w:p w14:paraId="6FBBC287">
      <w:pPr>
        <w:widowControl/>
        <w:wordWrap w:val="0"/>
        <w:spacing w:line="360" w:lineRule="auto"/>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1.采购人信息</w:t>
      </w:r>
    </w:p>
    <w:p w14:paraId="4DA25C5F">
      <w:pPr>
        <w:pStyle w:val="32"/>
        <w:widowControl/>
        <w:wordWrap w:val="0"/>
        <w:spacing w:line="360" w:lineRule="auto"/>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名称：</w:t>
      </w:r>
      <w:r>
        <w:rPr>
          <w:rFonts w:hint="eastAsia" w:asciiTheme="majorEastAsia" w:hAnsiTheme="majorEastAsia" w:eastAsiaTheme="majorEastAsia" w:cstheme="majorEastAsia"/>
          <w:sz w:val="24"/>
          <w:szCs w:val="24"/>
          <w:highlight w:val="none"/>
          <w:shd w:val="clear" w:color="auto" w:fill="FFFFFF"/>
          <w:lang w:eastAsia="zh-CN"/>
        </w:rPr>
        <w:t>千阳县地下水工作队</w:t>
      </w:r>
    </w:p>
    <w:p w14:paraId="750990D0">
      <w:pPr>
        <w:pStyle w:val="32"/>
        <w:widowControl/>
        <w:wordWrap w:val="0"/>
        <w:spacing w:line="360" w:lineRule="auto"/>
        <w:ind w:firstLine="48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rPr>
        <w:t>地址：</w:t>
      </w:r>
      <w:r>
        <w:rPr>
          <w:rFonts w:hint="eastAsia" w:asciiTheme="majorEastAsia" w:hAnsiTheme="majorEastAsia" w:eastAsiaTheme="majorEastAsia" w:cstheme="majorEastAsia"/>
          <w:sz w:val="24"/>
          <w:szCs w:val="24"/>
          <w:highlight w:val="none"/>
          <w:shd w:val="clear" w:color="auto" w:fill="FFFFFF"/>
          <w:lang w:eastAsia="zh-CN"/>
        </w:rPr>
        <w:t>宝鸡市千阳县南关路83号</w:t>
      </w:r>
    </w:p>
    <w:p w14:paraId="51F361C9">
      <w:pPr>
        <w:pStyle w:val="32"/>
        <w:widowControl/>
        <w:wordWrap w:val="0"/>
        <w:spacing w:line="360" w:lineRule="auto"/>
        <w:ind w:firstLine="48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rPr>
        <w:t>联系方式</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lang w:val="en-US" w:eastAsia="zh-CN"/>
        </w:rPr>
        <w:t>13369194112</w:t>
      </w:r>
    </w:p>
    <w:p w14:paraId="530FCB98">
      <w:pPr>
        <w:widowControl/>
        <w:wordWrap w:val="0"/>
        <w:spacing w:line="360" w:lineRule="auto"/>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2.采购代理机构信息</w:t>
      </w:r>
    </w:p>
    <w:p w14:paraId="7CACD51A">
      <w:pPr>
        <w:pStyle w:val="32"/>
        <w:widowControl/>
        <w:wordWrap w:val="0"/>
        <w:spacing w:line="360" w:lineRule="auto"/>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名称：</w:t>
      </w:r>
      <w:r>
        <w:rPr>
          <w:rFonts w:hint="eastAsia" w:asciiTheme="majorEastAsia" w:hAnsiTheme="majorEastAsia" w:eastAsiaTheme="majorEastAsia" w:cstheme="majorEastAsia"/>
          <w:sz w:val="24"/>
          <w:szCs w:val="24"/>
          <w:highlight w:val="none"/>
          <w:shd w:val="clear" w:color="auto" w:fill="FFFFFF"/>
          <w:lang w:eastAsia="zh-CN"/>
        </w:rPr>
        <w:t>华地众信工程项目管理有限公司</w:t>
      </w:r>
    </w:p>
    <w:p w14:paraId="6524E2C3">
      <w:pPr>
        <w:pStyle w:val="32"/>
        <w:widowControl/>
        <w:wordWrap w:val="0"/>
        <w:spacing w:line="360" w:lineRule="auto"/>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地址：</w:t>
      </w:r>
      <w:r>
        <w:rPr>
          <w:rFonts w:hint="eastAsia" w:asciiTheme="majorEastAsia" w:hAnsiTheme="majorEastAsia" w:eastAsiaTheme="majorEastAsia" w:cstheme="majorEastAsia"/>
          <w:sz w:val="24"/>
          <w:szCs w:val="24"/>
          <w:highlight w:val="none"/>
          <w:shd w:val="clear" w:color="auto" w:fill="FFFFFF"/>
          <w:lang w:eastAsia="zh-CN"/>
        </w:rPr>
        <w:t>陕西省宝鸡市高新开发区马营镇高新锦园4号楼一单元1604室</w:t>
      </w:r>
    </w:p>
    <w:p w14:paraId="1620C0B0">
      <w:pPr>
        <w:pStyle w:val="32"/>
        <w:widowControl/>
        <w:wordWrap w:val="0"/>
        <w:spacing w:line="360" w:lineRule="auto"/>
        <w:ind w:firstLine="480"/>
        <w:jc w:val="both"/>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shd w:val="clear" w:color="auto" w:fill="FFFFFF"/>
        </w:rPr>
        <w:t>联系方式：</w:t>
      </w:r>
      <w:r>
        <w:rPr>
          <w:rFonts w:hint="eastAsia" w:asciiTheme="majorEastAsia" w:hAnsiTheme="majorEastAsia" w:eastAsiaTheme="majorEastAsia" w:cstheme="majorEastAsia"/>
          <w:sz w:val="24"/>
          <w:szCs w:val="24"/>
          <w:highlight w:val="none"/>
          <w:shd w:val="clear" w:color="auto" w:fill="FFFFFF"/>
          <w:lang w:val="en-US" w:eastAsia="zh-CN"/>
        </w:rPr>
        <w:t>0917-3528980</w:t>
      </w:r>
    </w:p>
    <w:p w14:paraId="4194AB54">
      <w:pPr>
        <w:widowControl/>
        <w:wordWrap w:val="0"/>
        <w:spacing w:line="360" w:lineRule="auto"/>
        <w:ind w:firstLine="480" w:firstLineChars="2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shd w:val="clear" w:color="auto" w:fill="FFFFFF"/>
        </w:rPr>
        <w:t>3.项目联系方式</w:t>
      </w:r>
    </w:p>
    <w:p w14:paraId="26B464D2">
      <w:pPr>
        <w:pStyle w:val="32"/>
        <w:widowControl/>
        <w:wordWrap w:val="0"/>
        <w:spacing w:line="360" w:lineRule="auto"/>
        <w:ind w:firstLine="480"/>
        <w:jc w:val="both"/>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shd w:val="clear" w:color="auto" w:fill="FFFFFF"/>
        </w:rPr>
        <w:t>项目联系人：</w:t>
      </w:r>
      <w:r>
        <w:rPr>
          <w:rFonts w:hint="eastAsia" w:asciiTheme="majorEastAsia" w:hAnsiTheme="majorEastAsia" w:eastAsiaTheme="majorEastAsia" w:cstheme="majorEastAsia"/>
          <w:sz w:val="24"/>
          <w:szCs w:val="24"/>
          <w:highlight w:val="none"/>
          <w:shd w:val="clear" w:color="auto" w:fill="FFFFFF"/>
          <w:lang w:eastAsia="zh-CN"/>
        </w:rPr>
        <w:t>陈佩瑶</w:t>
      </w:r>
    </w:p>
    <w:p w14:paraId="50558CB7">
      <w:pPr>
        <w:pStyle w:val="32"/>
        <w:widowControl/>
        <w:wordWrap w:val="0"/>
        <w:spacing w:line="360" w:lineRule="auto"/>
        <w:ind w:firstLine="480"/>
        <w:jc w:val="both"/>
        <w:rPr>
          <w:rFonts w:hint="eastAsia" w:asciiTheme="majorEastAsia" w:hAnsiTheme="majorEastAsia" w:eastAsiaTheme="majorEastAsia" w:cstheme="majorEastAsia"/>
          <w:color w:val="333333"/>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rPr>
        <w:t>电话：</w:t>
      </w:r>
      <w:r>
        <w:rPr>
          <w:rFonts w:hint="eastAsia" w:asciiTheme="majorEastAsia" w:hAnsiTheme="majorEastAsia" w:eastAsiaTheme="majorEastAsia" w:cstheme="majorEastAsia"/>
          <w:sz w:val="24"/>
          <w:szCs w:val="24"/>
          <w:highlight w:val="none"/>
          <w:shd w:val="clear" w:color="auto" w:fill="FFFFFF"/>
          <w:lang w:eastAsia="zh-CN"/>
        </w:rPr>
        <w:t>0917-3528980</w:t>
      </w:r>
    </w:p>
    <w:p w14:paraId="1E70C655">
      <w:pPr>
        <w:pStyle w:val="32"/>
        <w:widowControl/>
        <w:wordWrap w:val="0"/>
        <w:spacing w:line="360" w:lineRule="auto"/>
        <w:ind w:firstLine="480"/>
        <w:jc w:val="right"/>
        <w:rPr>
          <w:rFonts w:hint="eastAsia" w:asciiTheme="majorEastAsia" w:hAnsiTheme="majorEastAsia" w:eastAsiaTheme="majorEastAsia" w:cstheme="majorEastAsia"/>
          <w:color w:val="333333"/>
          <w:sz w:val="24"/>
          <w:szCs w:val="24"/>
          <w:highlight w:val="none"/>
          <w:shd w:val="clear" w:color="auto" w:fill="FFFFFF"/>
          <w:lang w:eastAsia="zh-CN"/>
        </w:rPr>
      </w:pP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华地众信工程项目管理有限公司</w:t>
      </w:r>
    </w:p>
    <w:p w14:paraId="06C84142">
      <w:pPr>
        <w:pStyle w:val="32"/>
        <w:widowControl/>
        <w:wordWrap w:val="0"/>
        <w:spacing w:line="360" w:lineRule="auto"/>
        <w:ind w:firstLine="480"/>
        <w:jc w:val="right"/>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202</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6</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年</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04</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月</w:t>
      </w:r>
      <w:r>
        <w:rPr>
          <w:rFonts w:hint="eastAsia" w:asciiTheme="majorEastAsia" w:hAnsiTheme="majorEastAsia" w:eastAsiaTheme="majorEastAsia" w:cstheme="majorEastAsia"/>
          <w:color w:val="000000" w:themeColor="text1"/>
          <w:sz w:val="24"/>
          <w:szCs w:val="24"/>
          <w:highlight w:val="none"/>
          <w:shd w:val="clear" w:color="auto" w:fill="FFFFFF"/>
          <w:lang w:val="en-US" w:eastAsia="zh-CN"/>
          <w14:textFill>
            <w14:solidFill>
              <w14:schemeClr w14:val="tx1"/>
            </w14:solidFill>
          </w14:textFill>
        </w:rPr>
        <w:t>28</w:t>
      </w:r>
      <w:r>
        <w:rPr>
          <w:rFonts w:hint="eastAsia" w:asciiTheme="majorEastAsia" w:hAnsiTheme="majorEastAsia" w:eastAsiaTheme="majorEastAsia" w:cstheme="majorEastAsia"/>
          <w:color w:val="000000" w:themeColor="text1"/>
          <w:sz w:val="24"/>
          <w:szCs w:val="24"/>
          <w:highlight w:val="none"/>
          <w:shd w:val="clear" w:color="auto" w:fill="FFFFFF"/>
          <w:lang w:eastAsia="zh-CN"/>
          <w14:textFill>
            <w14:solidFill>
              <w14:schemeClr w14:val="tx1"/>
            </w14:solidFill>
          </w14:textFill>
        </w:rPr>
        <w:t>日</w:t>
      </w:r>
    </w:p>
    <w:p w14:paraId="72CD31C1">
      <w:pPr>
        <w:numPr>
          <w:ilvl w:val="0"/>
          <w:numId w:val="0"/>
        </w:numPr>
        <w:tabs>
          <w:tab w:val="left" w:pos="1245"/>
        </w:tabs>
        <w:jc w:val="both"/>
        <w:outlineLvl w:val="0"/>
        <w:rPr>
          <w:rFonts w:hint="eastAsia" w:ascii="宋体" w:hAnsi="宋体" w:eastAsia="宋体" w:cs="宋体"/>
          <w:szCs w:val="24"/>
          <w:highlight w:val="none"/>
          <w:lang w:val="en-US" w:eastAsia="zh-CN"/>
        </w:rPr>
      </w:pPr>
    </w:p>
    <w:p w14:paraId="712B0792">
      <w:pPr>
        <w:rPr>
          <w:rFonts w:hint="eastAsia" w:asciiTheme="majorEastAsia" w:hAnsiTheme="majorEastAsia" w:eastAsiaTheme="majorEastAsia" w:cstheme="majorEastAsia"/>
          <w:b/>
          <w:bCs/>
          <w:color w:val="000000" w:themeColor="text1"/>
          <w:kern w:val="0"/>
          <w:sz w:val="24"/>
          <w:szCs w:val="24"/>
          <w:highlight w:val="none"/>
          <w14:textFill>
            <w14:solidFill>
              <w14:schemeClr w14:val="tx1"/>
            </w14:solidFill>
          </w14:textFill>
        </w:rPr>
      </w:pPr>
      <w:bookmarkStart w:id="4" w:name="_Toc458617453"/>
      <w:bookmarkStart w:id="5" w:name="_Toc15287"/>
      <w:bookmarkStart w:id="6" w:name="_Toc31306"/>
      <w:bookmarkStart w:id="7" w:name="_Toc28093"/>
      <w:bookmarkStart w:id="8" w:name="_Toc8263"/>
      <w:bookmarkStart w:id="9" w:name="_Toc4911"/>
      <w:bookmarkStart w:id="10" w:name="_Toc129703221"/>
      <w:bookmarkStart w:id="11" w:name="_Toc458617730"/>
      <w:r>
        <w:rPr>
          <w:rFonts w:hint="eastAsia" w:asciiTheme="majorEastAsia" w:hAnsiTheme="majorEastAsia" w:eastAsiaTheme="majorEastAsia" w:cstheme="majorEastAsia"/>
          <w:b/>
          <w:bCs/>
          <w:color w:val="000000" w:themeColor="text1"/>
          <w:kern w:val="0"/>
          <w:sz w:val="24"/>
          <w:szCs w:val="24"/>
          <w:highlight w:val="none"/>
          <w14:textFill>
            <w14:solidFill>
              <w14:schemeClr w14:val="tx1"/>
            </w14:solidFill>
          </w14:textFill>
        </w:rPr>
        <w:br w:type="page"/>
      </w:r>
    </w:p>
    <w:p w14:paraId="7A3C4960">
      <w:pPr>
        <w:spacing w:line="360" w:lineRule="auto"/>
        <w:jc w:val="center"/>
        <w:outlineLvl w:val="0"/>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t>第二章 供应商须知</w:t>
      </w:r>
      <w:bookmarkEnd w:id="4"/>
      <w:bookmarkEnd w:id="5"/>
      <w:bookmarkEnd w:id="6"/>
      <w:bookmarkEnd w:id="7"/>
      <w:bookmarkEnd w:id="8"/>
      <w:bookmarkEnd w:id="9"/>
      <w:bookmarkEnd w:id="10"/>
      <w:bookmarkEnd w:id="11"/>
      <w:bookmarkStart w:id="12" w:name="_Toc8707"/>
      <w:bookmarkStart w:id="13" w:name="_Toc458617731"/>
      <w:bookmarkStart w:id="14" w:name="_Toc458617454"/>
    </w:p>
    <w:p w14:paraId="6E4D21E6">
      <w:pPr>
        <w:spacing w:line="360" w:lineRule="auto"/>
        <w:jc w:val="center"/>
        <w:rPr>
          <w:rFonts w:ascii="宋体" w:hAnsi="宋体" w:eastAsia="宋体" w:cs="宋体"/>
          <w:color w:val="000000" w:themeColor="text1"/>
          <w:sz w:val="15"/>
          <w:szCs w:val="15"/>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一、供应商须知前附表</w:t>
      </w:r>
      <w:bookmarkEnd w:id="12"/>
      <w:bookmarkEnd w:id="13"/>
      <w:bookmarkEnd w:id="14"/>
    </w:p>
    <w:tbl>
      <w:tblPr>
        <w:tblStyle w:val="37"/>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84"/>
        <w:gridCol w:w="6546"/>
      </w:tblGrid>
      <w:tr w14:paraId="578F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37229C66">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序号</w:t>
            </w:r>
          </w:p>
        </w:tc>
        <w:tc>
          <w:tcPr>
            <w:tcW w:w="2084" w:type="dxa"/>
            <w:vAlign w:val="center"/>
          </w:tcPr>
          <w:p w14:paraId="4DB45D77">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条款名称</w:t>
            </w:r>
          </w:p>
        </w:tc>
        <w:tc>
          <w:tcPr>
            <w:tcW w:w="6546" w:type="dxa"/>
            <w:vAlign w:val="center"/>
          </w:tcPr>
          <w:p w14:paraId="1BCF6A36">
            <w:pPr>
              <w:spacing w:line="500" w:lineRule="exac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说明和要求</w:t>
            </w:r>
          </w:p>
        </w:tc>
      </w:tr>
      <w:tr w14:paraId="344A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09" w:type="dxa"/>
            <w:vAlign w:val="center"/>
          </w:tcPr>
          <w:p w14:paraId="69626FC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p>
        </w:tc>
        <w:tc>
          <w:tcPr>
            <w:tcW w:w="2084" w:type="dxa"/>
            <w:vAlign w:val="center"/>
          </w:tcPr>
          <w:p w14:paraId="321C48E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采购人</w:t>
            </w:r>
          </w:p>
        </w:tc>
        <w:tc>
          <w:tcPr>
            <w:tcW w:w="6546" w:type="dxa"/>
            <w:vAlign w:val="center"/>
          </w:tcPr>
          <w:p w14:paraId="061EF9CF">
            <w:pPr>
              <w:pStyle w:val="32"/>
              <w:widowControl/>
              <w:spacing w:line="500" w:lineRule="exact"/>
              <w:jc w:val="both"/>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名称：</w:t>
            </w:r>
            <w:r>
              <w:rPr>
                <w:rFonts w:hint="eastAsia" w:ascii="宋体" w:hAnsi="宋体" w:eastAsia="宋体" w:cs="宋体"/>
                <w:highlight w:val="none"/>
                <w:lang w:eastAsia="zh-CN"/>
              </w:rPr>
              <w:t>千阳县地下水工作队</w:t>
            </w:r>
          </w:p>
          <w:p w14:paraId="3A5B7E4D">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地址：</w:t>
            </w:r>
            <w:r>
              <w:rPr>
                <w:rFonts w:hint="eastAsia" w:ascii="宋体" w:hAnsi="宋体" w:eastAsia="宋体" w:cs="宋体"/>
                <w:color w:val="000000" w:themeColor="text1"/>
                <w:szCs w:val="24"/>
                <w:highlight w:val="none"/>
                <w:lang w:eastAsia="zh-CN"/>
                <w14:textFill>
                  <w14:solidFill>
                    <w14:schemeClr w14:val="tx1"/>
                  </w14:solidFill>
                </w14:textFill>
              </w:rPr>
              <w:t>宝鸡市千阳县南关路83号</w:t>
            </w:r>
          </w:p>
          <w:p w14:paraId="5EC5C33B">
            <w:pPr>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 系 人：</w:t>
            </w:r>
            <w:r>
              <w:rPr>
                <w:rFonts w:hint="eastAsia" w:ascii="宋体" w:hAnsi="宋体" w:eastAsia="宋体" w:cs="宋体"/>
                <w:color w:val="000000" w:themeColor="text1"/>
                <w:szCs w:val="24"/>
                <w:highlight w:val="none"/>
                <w:lang w:val="en-US" w:eastAsia="zh-CN"/>
                <w14:textFill>
                  <w14:solidFill>
                    <w14:schemeClr w14:val="tx1"/>
                  </w14:solidFill>
                </w14:textFill>
              </w:rPr>
              <w:t>陈昊</w:t>
            </w:r>
          </w:p>
          <w:p w14:paraId="0E9114B5">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eastAsia="宋体" w:cs="宋体"/>
                <w:color w:val="000000" w:themeColor="text1"/>
                <w:szCs w:val="24"/>
                <w:highlight w:val="none"/>
                <w:lang w:val="en-US" w:eastAsia="zh-CN"/>
                <w14:textFill>
                  <w14:solidFill>
                    <w14:schemeClr w14:val="tx1"/>
                  </w14:solidFill>
                </w14:textFill>
              </w:rPr>
              <w:t>13369194112</w:t>
            </w:r>
          </w:p>
        </w:tc>
      </w:tr>
      <w:tr w14:paraId="2F3B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2D8B118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p>
        </w:tc>
        <w:tc>
          <w:tcPr>
            <w:tcW w:w="2084" w:type="dxa"/>
            <w:vAlign w:val="center"/>
          </w:tcPr>
          <w:p w14:paraId="18B58D4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w:t>
            </w:r>
          </w:p>
        </w:tc>
        <w:tc>
          <w:tcPr>
            <w:tcW w:w="6546" w:type="dxa"/>
            <w:vAlign w:val="center"/>
          </w:tcPr>
          <w:p w14:paraId="75A25616">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名称：</w:t>
            </w:r>
            <w:r>
              <w:rPr>
                <w:rFonts w:hint="eastAsia" w:ascii="宋体" w:hAnsi="宋体" w:eastAsia="宋体" w:cs="宋体"/>
                <w:color w:val="000000" w:themeColor="text1"/>
                <w:szCs w:val="24"/>
                <w:highlight w:val="none"/>
                <w:lang w:eastAsia="zh-CN"/>
                <w14:textFill>
                  <w14:solidFill>
                    <w14:schemeClr w14:val="tx1"/>
                  </w14:solidFill>
                </w14:textFill>
              </w:rPr>
              <w:t>华地众信工程项目管理有限公司</w:t>
            </w:r>
          </w:p>
          <w:p w14:paraId="325EDC1F">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地址：</w:t>
            </w:r>
            <w:r>
              <w:rPr>
                <w:rFonts w:hint="eastAsia" w:ascii="宋体" w:hAnsi="宋体" w:eastAsia="宋体" w:cs="宋体"/>
                <w:color w:val="000000" w:themeColor="text1"/>
                <w:szCs w:val="24"/>
                <w:highlight w:val="none"/>
                <w:lang w:eastAsia="zh-CN"/>
                <w14:textFill>
                  <w14:solidFill>
                    <w14:schemeClr w14:val="tx1"/>
                  </w14:solidFill>
                </w14:textFill>
              </w:rPr>
              <w:t>陕西省宝鸡市高新开发区马营镇高新锦园4号楼一单元1604室</w:t>
            </w:r>
          </w:p>
          <w:p w14:paraId="1E15E6FC">
            <w:pPr>
              <w:spacing w:line="500" w:lineRule="exact"/>
              <w:rPr>
                <w:rFonts w:hint="default" w:ascii="宋体" w:hAnsi="宋体" w:eastAsia="宋体" w:cs="宋体"/>
                <w:b/>
                <w:color w:val="000000" w:themeColor="text1"/>
                <w:szCs w:val="24"/>
                <w:highlight w:val="none"/>
                <w:u w:val="wavyHeavy" w:color="FF0000"/>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r>
              <w:rPr>
                <w:rFonts w:hint="eastAsia" w:ascii="宋体" w:hAnsi="宋体" w:eastAsia="宋体" w:cs="宋体"/>
                <w:color w:val="000000" w:themeColor="text1"/>
                <w:szCs w:val="24"/>
                <w:highlight w:val="none"/>
                <w:lang w:val="en-US" w:eastAsia="zh-CN"/>
                <w14:textFill>
                  <w14:solidFill>
                    <w14:schemeClr w14:val="tx1"/>
                  </w14:solidFill>
                </w14:textFill>
              </w:rPr>
              <w:t>陈佩瑶</w:t>
            </w:r>
          </w:p>
          <w:p w14:paraId="026D0939">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eastAsia="宋体" w:cs="宋体"/>
                <w:color w:val="000000" w:themeColor="text1"/>
                <w:szCs w:val="24"/>
                <w:highlight w:val="none"/>
                <w:lang w:eastAsia="zh-CN"/>
                <w14:textFill>
                  <w14:solidFill>
                    <w14:schemeClr w14:val="tx1"/>
                  </w14:solidFill>
                </w14:textFill>
              </w:rPr>
              <w:t>：0917-3528980</w:t>
            </w:r>
          </w:p>
        </w:tc>
      </w:tr>
      <w:tr w14:paraId="4D3A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vAlign w:val="center"/>
          </w:tcPr>
          <w:p w14:paraId="463467D7">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370E1A5F">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项目名称</w:t>
            </w:r>
          </w:p>
        </w:tc>
        <w:tc>
          <w:tcPr>
            <w:tcW w:w="6546" w:type="dxa"/>
            <w:vAlign w:val="center"/>
          </w:tcPr>
          <w:p w14:paraId="2106DCE9">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千阳县2026年度取水口监测计量项目</w:t>
            </w:r>
          </w:p>
        </w:tc>
      </w:tr>
      <w:tr w14:paraId="714D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09" w:type="dxa"/>
            <w:vAlign w:val="center"/>
          </w:tcPr>
          <w:p w14:paraId="6A231132">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57567CF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项目编号</w:t>
            </w:r>
          </w:p>
        </w:tc>
        <w:tc>
          <w:tcPr>
            <w:tcW w:w="6546" w:type="dxa"/>
            <w:vAlign w:val="center"/>
          </w:tcPr>
          <w:p w14:paraId="287908AD">
            <w:pPr>
              <w:widowControl/>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HDZX2026（010）CG</w:t>
            </w:r>
          </w:p>
        </w:tc>
      </w:tr>
      <w:tr w14:paraId="4969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1880A29A">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7C4EDDCE">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资金性质</w:t>
            </w:r>
          </w:p>
        </w:tc>
        <w:tc>
          <w:tcPr>
            <w:tcW w:w="6546" w:type="dxa"/>
            <w:vAlign w:val="center"/>
          </w:tcPr>
          <w:p w14:paraId="5393397F">
            <w:pPr>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财政资金</w:t>
            </w:r>
          </w:p>
        </w:tc>
      </w:tr>
      <w:tr w14:paraId="5C65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49F696E1">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1E7952BA">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项目最高限价</w:t>
            </w:r>
          </w:p>
        </w:tc>
        <w:tc>
          <w:tcPr>
            <w:tcW w:w="6546" w:type="dxa"/>
            <w:vAlign w:val="center"/>
          </w:tcPr>
          <w:p w14:paraId="09525E39">
            <w:pPr>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730000.00</w:t>
            </w:r>
            <w:r>
              <w:rPr>
                <w:rFonts w:hint="eastAsia" w:ascii="宋体" w:hAnsi="宋体" w:eastAsia="宋体" w:cs="宋体"/>
                <w:color w:val="000000" w:themeColor="text1"/>
                <w:szCs w:val="24"/>
                <w:highlight w:val="none"/>
                <w14:textFill>
                  <w14:solidFill>
                    <w14:schemeClr w14:val="tx1"/>
                  </w14:solidFill>
                </w14:textFill>
              </w:rPr>
              <w:t>元</w:t>
            </w:r>
          </w:p>
        </w:tc>
      </w:tr>
      <w:tr w14:paraId="2AB0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709" w:type="dxa"/>
            <w:vAlign w:val="center"/>
          </w:tcPr>
          <w:p w14:paraId="7998DD1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p>
        </w:tc>
        <w:tc>
          <w:tcPr>
            <w:tcW w:w="2084" w:type="dxa"/>
            <w:vAlign w:val="center"/>
          </w:tcPr>
          <w:p w14:paraId="478DF2F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项目用途</w:t>
            </w:r>
          </w:p>
        </w:tc>
        <w:tc>
          <w:tcPr>
            <w:tcW w:w="6546" w:type="dxa"/>
            <w:vAlign w:val="center"/>
          </w:tcPr>
          <w:p w14:paraId="626D362E">
            <w:pPr>
              <w:spacing w:line="500" w:lineRule="exact"/>
              <w:rPr>
                <w:rFonts w:hint="eastAsia" w:ascii="宋体" w:hAnsi="宋体" w:eastAsia="宋体" w:cs="宋体"/>
                <w:bCs/>
                <w:color w:val="000000" w:themeColor="text1"/>
                <w:szCs w:val="24"/>
                <w:highlight w:val="none"/>
                <w:lang w:eastAsia="zh-CN"/>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通过远程监测站点实时采集农灌机井的取水量、用电量、地下水位以及管道压力等以电折水系数测算关键数据，能够对区域以电折水系数测算参考提供数据依据，以此推算区域以电折水系数</w:t>
            </w:r>
            <w:r>
              <w:rPr>
                <w:rFonts w:hint="eastAsia" w:ascii="宋体" w:hAnsi="宋体" w:eastAsia="宋体" w:cs="宋体"/>
                <w:bCs/>
                <w:color w:val="000000" w:themeColor="text1"/>
                <w:szCs w:val="24"/>
                <w:highlight w:val="none"/>
                <w:lang w:eastAsia="zh-CN"/>
                <w14:textFill>
                  <w14:solidFill>
                    <w14:schemeClr w14:val="tx1"/>
                  </w14:solidFill>
                </w14:textFill>
              </w:rPr>
              <w:t>。</w:t>
            </w:r>
          </w:p>
        </w:tc>
      </w:tr>
      <w:tr w14:paraId="6E56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709" w:type="dxa"/>
            <w:vAlign w:val="center"/>
          </w:tcPr>
          <w:p w14:paraId="65CA56B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4" w:type="dxa"/>
            <w:vAlign w:val="center"/>
          </w:tcPr>
          <w:p w14:paraId="11033D13">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采购内容和要求</w:t>
            </w:r>
          </w:p>
        </w:tc>
        <w:tc>
          <w:tcPr>
            <w:tcW w:w="6546" w:type="dxa"/>
            <w:vAlign w:val="center"/>
          </w:tcPr>
          <w:p w14:paraId="0D3B3FEE">
            <w:pPr>
              <w:pStyle w:val="57"/>
              <w:spacing w:line="500" w:lineRule="exact"/>
              <w:ind w:firstLine="0" w:firstLineChars="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新建14处农灌井取水“以电折水”在线监测样本井设施安装和设备调试、平台对接以电折水系数测算等技术服务工作，新建取水口标识牌190个，含标志牌制作安装。（详见采购内容及要求）</w:t>
            </w:r>
          </w:p>
          <w:p w14:paraId="3F5C532B">
            <w:pPr>
              <w:pStyle w:val="57"/>
              <w:spacing w:line="500" w:lineRule="exact"/>
              <w:ind w:firstLine="0" w:firstLineChars="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2"/>
                <w:sz w:val="24"/>
                <w:szCs w:val="24"/>
                <w:highlight w:val="none"/>
                <w14:textFill>
                  <w14:solidFill>
                    <w14:schemeClr w14:val="tx1"/>
                  </w14:solidFill>
                </w14:textFill>
              </w:rPr>
              <w:t>备注：</w:t>
            </w:r>
            <w:r>
              <w:rPr>
                <w:rFonts w:hint="eastAsia" w:ascii="宋体" w:hAnsi="宋体" w:eastAsia="宋体" w:cs="宋体"/>
                <w:b/>
                <w:color w:val="000000" w:themeColor="text1"/>
                <w:sz w:val="24"/>
                <w:szCs w:val="24"/>
                <w:highlight w:val="none"/>
                <w14:textFill>
                  <w14:solidFill>
                    <w14:schemeClr w14:val="tx1"/>
                  </w14:solidFill>
                </w14:textFill>
              </w:rPr>
              <w:t>本项目为交钥匙</w:t>
            </w:r>
            <w:r>
              <w:rPr>
                <w:rFonts w:hint="eastAsia" w:ascii="宋体" w:hAnsi="宋体" w:eastAsia="宋体" w:cs="宋体"/>
                <w:b/>
                <w:color w:val="000000" w:themeColor="text1"/>
                <w:sz w:val="24"/>
                <w:szCs w:val="24"/>
                <w:highlight w:val="none"/>
                <w:lang w:eastAsia="zh-CN"/>
                <w14:textFill>
                  <w14:solidFill>
                    <w14:schemeClr w14:val="tx1"/>
                  </w14:solidFill>
                </w14:textFill>
              </w:rPr>
              <w:t>项目</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eastAsia="zh-CN"/>
                <w14:textFill>
                  <w14:solidFill>
                    <w14:schemeClr w14:val="tx1"/>
                  </w14:solidFill>
                </w14:textFill>
              </w:rPr>
              <w:t>采购的系统需保证与</w:t>
            </w:r>
            <w:r>
              <w:rPr>
                <w:rFonts w:hint="eastAsia" w:ascii="宋体" w:hAnsi="宋体" w:eastAsia="宋体" w:cs="宋体"/>
                <w:b/>
                <w:color w:val="000000" w:themeColor="text1"/>
                <w:sz w:val="24"/>
                <w:szCs w:val="24"/>
                <w:highlight w:val="none"/>
                <w14:textFill>
                  <w14:solidFill>
                    <w14:schemeClr w14:val="tx1"/>
                  </w14:solidFill>
                </w14:textFill>
              </w:rPr>
              <w:t>水资源国控平台及国网陕西电力公司大数据平台</w:t>
            </w:r>
            <w:r>
              <w:rPr>
                <w:rFonts w:hint="eastAsia" w:ascii="宋体" w:hAnsi="宋体" w:eastAsia="宋体" w:cs="宋体"/>
                <w:b/>
                <w:color w:val="000000" w:themeColor="text1"/>
                <w:sz w:val="24"/>
                <w:szCs w:val="24"/>
                <w:highlight w:val="none"/>
                <w:lang w:val="en-US" w:eastAsia="zh-CN"/>
                <w14:textFill>
                  <w14:solidFill>
                    <w14:schemeClr w14:val="tx1"/>
                  </w14:solidFill>
                </w14:textFill>
              </w:rPr>
              <w:t>信息</w:t>
            </w:r>
            <w:r>
              <w:rPr>
                <w:rFonts w:hint="eastAsia" w:ascii="宋体" w:hAnsi="宋体" w:eastAsia="宋体" w:cs="宋体"/>
                <w:b/>
                <w:color w:val="000000" w:themeColor="text1"/>
                <w:sz w:val="24"/>
                <w:szCs w:val="24"/>
                <w:highlight w:val="none"/>
                <w:lang w:eastAsia="zh-CN"/>
                <w14:textFill>
                  <w14:solidFill>
                    <w14:schemeClr w14:val="tx1"/>
                  </w14:solidFill>
                </w14:textFill>
              </w:rPr>
              <w:t>系统无缝对接，所有数据互联互通，确保系统设备正常运行及使用。</w:t>
            </w:r>
          </w:p>
        </w:tc>
      </w:tr>
      <w:tr w14:paraId="6B03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10A5099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9</w:t>
            </w:r>
          </w:p>
        </w:tc>
        <w:tc>
          <w:tcPr>
            <w:tcW w:w="2084" w:type="dxa"/>
            <w:vAlign w:val="center"/>
          </w:tcPr>
          <w:p w14:paraId="403B32C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w:t>
            </w:r>
          </w:p>
        </w:tc>
        <w:tc>
          <w:tcPr>
            <w:tcW w:w="6546" w:type="dxa"/>
            <w:vAlign w:val="center"/>
          </w:tcPr>
          <w:p w14:paraId="256E7ED1">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符合本次竞争性磋商所规定的资格条件，从</w:t>
            </w:r>
            <w:r>
              <w:rPr>
                <w:rFonts w:hint="eastAsia" w:ascii="宋体" w:hAnsi="宋体" w:eastAsia="宋体" w:cs="宋体"/>
                <w:color w:val="000000" w:themeColor="text1"/>
                <w:szCs w:val="24"/>
                <w:highlight w:val="none"/>
                <w:lang w:val="en-US" w:eastAsia="zh-CN"/>
                <w14:textFill>
                  <w14:solidFill>
                    <w14:schemeClr w14:val="tx1"/>
                  </w14:solidFill>
                </w14:textFill>
              </w:rPr>
              <w:t>全国公共资源交易平台</w:t>
            </w:r>
            <w:r>
              <w:rPr>
                <w:rFonts w:hint="eastAsia" w:ascii="宋体" w:hAnsi="宋体" w:eastAsia="宋体" w:cs="宋体"/>
                <w:color w:val="000000" w:themeColor="text1"/>
                <w:szCs w:val="24"/>
                <w:highlight w:val="none"/>
                <w14:textFill>
                  <w14:solidFill>
                    <w14:schemeClr w14:val="tx1"/>
                  </w14:solidFill>
                </w14:textFill>
              </w:rPr>
              <w:t>获取竞争性磋商文件，并自愿参加磋商活动的供应商。</w:t>
            </w:r>
          </w:p>
        </w:tc>
      </w:tr>
      <w:tr w14:paraId="2EAF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05451BFB">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0</w:t>
            </w:r>
          </w:p>
        </w:tc>
        <w:tc>
          <w:tcPr>
            <w:tcW w:w="2084" w:type="dxa"/>
            <w:vAlign w:val="center"/>
          </w:tcPr>
          <w:p w14:paraId="3AABF61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供应商资格要求</w:t>
            </w:r>
          </w:p>
        </w:tc>
        <w:tc>
          <w:tcPr>
            <w:tcW w:w="6546" w:type="dxa"/>
            <w:vAlign w:val="center"/>
          </w:tcPr>
          <w:p w14:paraId="2586EECA">
            <w:pPr>
              <w:pStyle w:val="32"/>
              <w:widowControl/>
              <w:wordWrap w:val="0"/>
              <w:spacing w:line="560" w:lineRule="exact"/>
              <w:jc w:val="both"/>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资格条件：</w:t>
            </w:r>
          </w:p>
          <w:p w14:paraId="6DEA4926">
            <w:pPr>
              <w:pStyle w:val="32"/>
              <w:widowControl/>
              <w:numPr>
                <w:ilvl w:val="0"/>
                <w:numId w:val="0"/>
              </w:numPr>
              <w:wordWrap w:val="0"/>
              <w:spacing w:line="560" w:lineRule="exact"/>
              <w:jc w:val="both"/>
              <w:rPr>
                <w:rFonts w:hint="eastAsia"/>
                <w:highlight w:val="none"/>
              </w:rPr>
            </w:pPr>
            <w:r>
              <w:rPr>
                <w:rFonts w:hint="eastAsia" w:asciiTheme="majorEastAsia" w:hAnsiTheme="majorEastAsia" w:eastAsiaTheme="majorEastAsia" w:cstheme="majorEastAsia"/>
                <w:sz w:val="24"/>
                <w:szCs w:val="24"/>
                <w:highlight w:val="none"/>
                <w:shd w:val="clear" w:color="auto" w:fill="FFFFFF"/>
                <w:lang w:val="en-US" w:eastAsia="zh-CN"/>
              </w:rPr>
              <w:t>1）</w:t>
            </w: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6C766E24">
            <w:pPr>
              <w:pStyle w:val="32"/>
              <w:widowControl/>
              <w:numPr>
                <w:ilvl w:val="0"/>
                <w:numId w:val="0"/>
              </w:numPr>
              <w:wordWrap w:val="0"/>
              <w:spacing w:line="560" w:lineRule="exact"/>
              <w:jc w:val="both"/>
              <w:rPr>
                <w:rFonts w:hint="eastAsia" w:eastAsiaTheme="majorEastAsia"/>
                <w:highlight w:val="none"/>
                <w:lang w:eastAsia="zh-CN"/>
              </w:rPr>
            </w:pPr>
            <w:r>
              <w:rPr>
                <w:rFonts w:hint="eastAsia" w:asciiTheme="majorEastAsia" w:hAnsiTheme="majorEastAsia" w:eastAsiaTheme="majorEastAsia" w:cstheme="majorEastAsia"/>
                <w:sz w:val="24"/>
                <w:szCs w:val="24"/>
                <w:highlight w:val="none"/>
                <w:shd w:val="clear" w:color="auto" w:fill="FFFFFF"/>
                <w:lang w:val="en-US" w:eastAsia="zh-CN"/>
              </w:rPr>
              <w:t>2</w:t>
            </w:r>
            <w:r>
              <w:rPr>
                <w:rFonts w:hint="eastAsia" w:asciiTheme="majorEastAsia" w:hAnsiTheme="majorEastAsia" w:eastAsiaTheme="majorEastAsia" w:cstheme="majorEastAsia"/>
                <w:sz w:val="24"/>
                <w:szCs w:val="24"/>
                <w:highlight w:val="none"/>
                <w:shd w:val="clear" w:color="auto" w:fill="FFFFFF"/>
              </w:rPr>
              <w:t>）财务状况报告：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57884724">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w:t>
            </w:r>
            <w:r>
              <w:rPr>
                <w:rFonts w:hint="eastAsia" w:asciiTheme="majorEastAsia" w:hAnsiTheme="majorEastAsia" w:eastAsiaTheme="majorEastAsia" w:cstheme="majorEastAsia"/>
                <w:sz w:val="24"/>
                <w:szCs w:val="24"/>
                <w:highlight w:val="none"/>
                <w:shd w:val="clear" w:color="auto" w:fill="FFFFFF"/>
                <w:lang w:eastAsia="zh-CN"/>
              </w:rPr>
              <w:t>供应商须提供2025年04月至今已缴存的连续六个月的社会保障资金缴存单据或社保机构开具的社会保险参保缴费情况证明，依法不需要缴纳社会保障资金的单位应提供相关证明材料；</w:t>
            </w:r>
          </w:p>
          <w:p w14:paraId="364B1BE3">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w:t>
            </w:r>
            <w:r>
              <w:rPr>
                <w:rFonts w:hint="eastAsia" w:asciiTheme="majorEastAsia" w:hAnsiTheme="majorEastAsia" w:eastAsiaTheme="majorEastAsia" w:cstheme="majorEastAsia"/>
                <w:sz w:val="24"/>
                <w:szCs w:val="24"/>
                <w:highlight w:val="none"/>
                <w:shd w:val="clear" w:color="auto" w:fill="FFFFFF"/>
                <w:lang w:eastAsia="zh-CN"/>
              </w:rPr>
              <w:t>供应商须提供2025年04月至今已缴存的连续六个月的纳税证明或完税证明，依法免税的单位应提供相关证明材料；</w:t>
            </w:r>
          </w:p>
          <w:p w14:paraId="7A8FBB01">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供应商未被列入“信用中国”网站重大税收违法失信主体，供应商未被列入“中国执行信息公开网”网站失信被执行人；未被列入“中国政府采购网”政府采购严重违法失信行为信息记录；</w:t>
            </w:r>
          </w:p>
          <w:p w14:paraId="0471B94C">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365EBF83">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399007EB">
            <w:pPr>
              <w:pStyle w:val="32"/>
              <w:widowControl/>
              <w:wordWrap w:val="0"/>
              <w:spacing w:line="560" w:lineRule="exact"/>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w:t>
            </w:r>
            <w:r>
              <w:rPr>
                <w:rFonts w:hint="eastAsia" w:asciiTheme="majorEastAsia" w:hAnsiTheme="majorEastAsia" w:eastAsiaTheme="majorEastAsia" w:cstheme="majorEastAsia"/>
                <w:sz w:val="24"/>
                <w:szCs w:val="24"/>
                <w:highlight w:val="none"/>
                <w:shd w:val="clear" w:color="auto" w:fill="FFFFFF"/>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2BB08B33">
            <w:pPr>
              <w:pStyle w:val="32"/>
              <w:widowControl/>
              <w:wordWrap w:val="0"/>
              <w:spacing w:line="560" w:lineRule="exact"/>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6908F86D">
            <w:pPr>
              <w:pStyle w:val="143"/>
              <w:pageBreakBefore w:val="0"/>
              <w:shd w:val="clear" w:color="auto" w:fill="FFFFFF"/>
              <w:kinsoku/>
              <w:overflowPunct/>
              <w:topLinePunct w:val="0"/>
              <w:autoSpaceDE/>
              <w:autoSpaceDN/>
              <w:bidi w:val="0"/>
              <w:snapToGrid/>
              <w:spacing w:before="0" w:beforeAutospacing="0" w:after="0" w:afterAutospacing="0" w:line="520" w:lineRule="exact"/>
              <w:jc w:val="both"/>
              <w:rPr>
                <w:highlight w:val="none"/>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tc>
      </w:tr>
      <w:tr w14:paraId="601F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09" w:type="dxa"/>
            <w:vAlign w:val="center"/>
          </w:tcPr>
          <w:p w14:paraId="2FD5A951">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1</w:t>
            </w:r>
          </w:p>
        </w:tc>
        <w:tc>
          <w:tcPr>
            <w:tcW w:w="2084" w:type="dxa"/>
            <w:vAlign w:val="center"/>
          </w:tcPr>
          <w:p w14:paraId="3A4EAD68">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服务期限</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质量标准</w:t>
            </w:r>
            <w:r>
              <w:rPr>
                <w:rFonts w:hint="eastAsia" w:ascii="宋体" w:hAnsi="宋体" w:eastAsia="宋体" w:cs="宋体"/>
                <w:color w:val="000000" w:themeColor="text1"/>
                <w:szCs w:val="24"/>
                <w:highlight w:val="none"/>
                <w14:textFill>
                  <w14:solidFill>
                    <w14:schemeClr w14:val="tx1"/>
                  </w14:solidFill>
                </w14:textFill>
              </w:rPr>
              <w:t>及服务地点</w:t>
            </w:r>
          </w:p>
        </w:tc>
        <w:tc>
          <w:tcPr>
            <w:tcW w:w="6546" w:type="dxa"/>
            <w:vAlign w:val="center"/>
          </w:tcPr>
          <w:p w14:paraId="2FCD301E">
            <w:pPr>
              <w:spacing w:line="500" w:lineRule="exact"/>
              <w:rPr>
                <w:rStyle w:val="40"/>
                <w:rFonts w:hint="eastAsia" w:ascii="宋体" w:hAnsi="宋体" w:eastAsia="宋体" w:cs="宋体"/>
                <w:b w:val="0"/>
                <w:bCs w:val="0"/>
                <w:szCs w:val="24"/>
                <w:highlight w:val="none"/>
                <w:shd w:val="clear" w:color="auto" w:fill="FFFFFF"/>
                <w:lang w:val="en-US" w:eastAsia="zh-CN"/>
              </w:rPr>
            </w:pPr>
            <w:r>
              <w:rPr>
                <w:rFonts w:hint="eastAsia" w:ascii="宋体" w:hAnsi="宋体" w:eastAsia="宋体" w:cs="宋体"/>
                <w:color w:val="000000" w:themeColor="text1"/>
                <w:szCs w:val="24"/>
                <w:highlight w:val="none"/>
                <w14:textFill>
                  <w14:solidFill>
                    <w14:schemeClr w14:val="tx1"/>
                  </w14:solidFill>
                </w14:textFill>
              </w:rPr>
              <w:t>服务期限：</w:t>
            </w:r>
            <w:r>
              <w:rPr>
                <w:rStyle w:val="40"/>
                <w:rFonts w:hint="eastAsia" w:ascii="宋体" w:hAnsi="宋体" w:eastAsia="宋体" w:cs="宋体"/>
                <w:b w:val="0"/>
                <w:bCs w:val="0"/>
                <w:szCs w:val="24"/>
                <w:highlight w:val="none"/>
                <w:shd w:val="clear" w:color="auto" w:fill="FFFFFF"/>
                <w:lang w:eastAsia="zh-CN"/>
              </w:rPr>
              <w:t>自合同签订之日起180个日历天</w:t>
            </w:r>
          </w:p>
          <w:p w14:paraId="7604E7C2">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rPr>
              <w:t>质量标准：合格，符合现行国家、地方及行业相关规范及</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要求。</w:t>
            </w:r>
          </w:p>
          <w:p w14:paraId="1B2B1B5B">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服务地点：</w:t>
            </w:r>
            <w:r>
              <w:rPr>
                <w:rFonts w:hint="eastAsia" w:ascii="宋体" w:hAnsi="宋体" w:eastAsia="宋体" w:cs="宋体"/>
                <w:color w:val="000000" w:themeColor="text1"/>
                <w:szCs w:val="24"/>
                <w:highlight w:val="none"/>
                <w:lang w:val="en-US" w:eastAsia="zh-CN"/>
                <w14:textFill>
                  <w14:solidFill>
                    <w14:schemeClr w14:val="tx1"/>
                  </w14:solidFill>
                </w14:textFill>
              </w:rPr>
              <w:t>采购人指定地点</w:t>
            </w:r>
            <w:r>
              <w:rPr>
                <w:rFonts w:hint="eastAsia" w:ascii="宋体" w:hAnsi="宋体" w:eastAsia="宋体" w:cs="宋体"/>
                <w:color w:val="000000" w:themeColor="text1"/>
                <w:szCs w:val="24"/>
                <w:highlight w:val="none"/>
                <w14:textFill>
                  <w14:solidFill>
                    <w14:schemeClr w14:val="tx1"/>
                  </w14:solidFill>
                </w14:textFill>
              </w:rPr>
              <w:t>。</w:t>
            </w:r>
          </w:p>
        </w:tc>
      </w:tr>
      <w:tr w14:paraId="2701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64DA0E04">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2</w:t>
            </w:r>
          </w:p>
        </w:tc>
        <w:tc>
          <w:tcPr>
            <w:tcW w:w="2084" w:type="dxa"/>
            <w:vAlign w:val="center"/>
          </w:tcPr>
          <w:p w14:paraId="081AD105">
            <w:pPr>
              <w:spacing w:line="500" w:lineRule="exact"/>
              <w:jc w:val="center"/>
              <w:rPr>
                <w:rFonts w:ascii="宋体" w:hAnsi="宋体" w:eastAsia="宋体" w:cs="宋体"/>
                <w:color w:val="000000" w:themeColor="text1"/>
                <w:szCs w:val="24"/>
                <w:highlight w:val="none"/>
                <w:u w:val="wavyHeavy" w:color="5B9BD5" w:themeColor="accent1"/>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竞争性磋商文件获取</w:t>
            </w:r>
          </w:p>
        </w:tc>
        <w:tc>
          <w:tcPr>
            <w:tcW w:w="6546" w:type="dxa"/>
            <w:vAlign w:val="center"/>
          </w:tcPr>
          <w:p w14:paraId="6A393A37">
            <w:pPr>
              <w:spacing w:line="500" w:lineRule="exact"/>
              <w:rPr>
                <w:rFonts w:hint="eastAsia" w:ascii="宋体" w:hAnsi="宋体" w:eastAsia="宋体" w:cs="宋体"/>
                <w:color w:val="FF0000"/>
                <w:szCs w:val="24"/>
                <w:highlight w:val="none"/>
                <w:lang w:eastAsia="zh-CN"/>
              </w:rPr>
            </w:pPr>
            <w:r>
              <w:rPr>
                <w:rFonts w:hint="eastAsia" w:ascii="宋体" w:hAnsi="宋体" w:eastAsia="宋体" w:cs="宋体"/>
                <w:szCs w:val="24"/>
                <w:highlight w:val="none"/>
              </w:rPr>
              <w:t>获取时间：</w:t>
            </w:r>
            <w:r>
              <w:rPr>
                <w:rFonts w:hint="eastAsia" w:ascii="宋体" w:hAnsi="宋体" w:eastAsia="宋体" w:cs="宋体"/>
                <w:szCs w:val="24"/>
                <w:highlight w:val="none"/>
                <w:lang w:eastAsia="zh-CN"/>
              </w:rPr>
              <w:t>2026年04月29日至2026年05月08日（</w:t>
            </w:r>
            <w:r>
              <w:rPr>
                <w:rFonts w:hint="eastAsia" w:ascii="宋体" w:hAnsi="宋体" w:eastAsia="宋体" w:cs="宋体"/>
                <w:szCs w:val="24"/>
                <w:highlight w:val="none"/>
              </w:rPr>
              <w:t>北京时间</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节假日除外）</w:t>
            </w:r>
          </w:p>
          <w:p w14:paraId="71C22367">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获取方式：供应商可登录全国公共资源交易平台-陕西省公共资源交易平台（陕西省·宝鸡市）下载电子竞争性磋商文件，逾期未办理的，视为自动放弃。</w:t>
            </w:r>
          </w:p>
        </w:tc>
      </w:tr>
      <w:tr w14:paraId="2D19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709" w:type="dxa"/>
            <w:vAlign w:val="center"/>
          </w:tcPr>
          <w:p w14:paraId="28A2C1D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3</w:t>
            </w:r>
          </w:p>
        </w:tc>
        <w:tc>
          <w:tcPr>
            <w:tcW w:w="2084" w:type="dxa"/>
            <w:vAlign w:val="center"/>
          </w:tcPr>
          <w:p w14:paraId="6E20A906">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联合体投标</w:t>
            </w:r>
          </w:p>
        </w:tc>
        <w:tc>
          <w:tcPr>
            <w:tcW w:w="6546" w:type="dxa"/>
            <w:vAlign w:val="center"/>
          </w:tcPr>
          <w:p w14:paraId="6045EC58">
            <w:pPr>
              <w:tabs>
                <w:tab w:val="left" w:pos="7013"/>
              </w:tabs>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不接受</w:t>
            </w:r>
          </w:p>
        </w:tc>
      </w:tr>
      <w:tr w14:paraId="77CA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vAlign w:val="center"/>
          </w:tcPr>
          <w:p w14:paraId="3E7744FD">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0FCE35F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现场勘查</w:t>
            </w:r>
          </w:p>
        </w:tc>
        <w:tc>
          <w:tcPr>
            <w:tcW w:w="6546" w:type="dxa"/>
            <w:vAlign w:val="center"/>
          </w:tcPr>
          <w:p w14:paraId="4B386188">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不组织</w:t>
            </w:r>
          </w:p>
        </w:tc>
      </w:tr>
      <w:tr w14:paraId="5474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709" w:type="dxa"/>
            <w:vAlign w:val="center"/>
          </w:tcPr>
          <w:p w14:paraId="42398A2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30997E7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供应商对竞争性磋商文件提出质疑的时间</w:t>
            </w:r>
          </w:p>
        </w:tc>
        <w:tc>
          <w:tcPr>
            <w:tcW w:w="6546" w:type="dxa"/>
            <w:vAlign w:val="center"/>
          </w:tcPr>
          <w:p w14:paraId="75A26AE6">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供应商认为竞争性磋商文件使自己的权益受到损害的，在收到竞争性磋商文件之日起七个工作日内以书面形式向采购代理机构提出质疑，逾期提出的无效</w:t>
            </w:r>
            <w:r>
              <w:rPr>
                <w:rFonts w:hint="eastAsia" w:ascii="宋体" w:hAnsi="宋体" w:eastAsia="宋体" w:cs="宋体"/>
                <w:color w:val="000000" w:themeColor="text1"/>
                <w:szCs w:val="24"/>
                <w:highlight w:val="none"/>
                <w:lang w:eastAsia="zh-CN"/>
                <w14:textFill>
                  <w14:solidFill>
                    <w14:schemeClr w14:val="tx1"/>
                  </w14:solidFill>
                </w14:textFill>
              </w:rPr>
              <w:t>。</w:t>
            </w:r>
          </w:p>
        </w:tc>
      </w:tr>
      <w:tr w14:paraId="5DA5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22CE4BA6">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41FA676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构成竞争性磋商文件的其他文件</w:t>
            </w:r>
          </w:p>
        </w:tc>
        <w:tc>
          <w:tcPr>
            <w:tcW w:w="6546" w:type="dxa"/>
            <w:vAlign w:val="center"/>
          </w:tcPr>
          <w:p w14:paraId="57216C64">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竞争性磋商文件的澄清、修改书及有关补充通知为竞争性磋商文件的有效组成部分。</w:t>
            </w:r>
          </w:p>
        </w:tc>
      </w:tr>
      <w:tr w14:paraId="0420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709" w:type="dxa"/>
            <w:vAlign w:val="center"/>
          </w:tcPr>
          <w:p w14:paraId="5D36063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7</w:t>
            </w:r>
          </w:p>
        </w:tc>
        <w:tc>
          <w:tcPr>
            <w:tcW w:w="2084" w:type="dxa"/>
            <w:vAlign w:val="center"/>
          </w:tcPr>
          <w:p w14:paraId="4084C5D8">
            <w:pPr>
              <w:pStyle w:val="58"/>
              <w:spacing w:line="50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响应文件提交截止时间、开标时间和地点</w:t>
            </w:r>
          </w:p>
        </w:tc>
        <w:tc>
          <w:tcPr>
            <w:tcW w:w="6546" w:type="dxa"/>
            <w:vAlign w:val="center"/>
          </w:tcPr>
          <w:p w14:paraId="5F744E07">
            <w:pPr>
              <w:pStyle w:val="58"/>
              <w:spacing w:line="500" w:lineRule="exact"/>
              <w:rPr>
                <w:rFonts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1、响应文件提交截止时</w:t>
            </w:r>
            <w:r>
              <w:rPr>
                <w:rFonts w:hint="eastAsia" w:ascii="宋体" w:hAnsi="宋体" w:eastAsia="宋体" w:cs="宋体"/>
                <w:sz w:val="24"/>
                <w:szCs w:val="24"/>
                <w:highlight w:val="none"/>
              </w:rPr>
              <w:t>间：</w:t>
            </w:r>
            <w:r>
              <w:rPr>
                <w:rFonts w:hint="eastAsia" w:ascii="宋体" w:hAnsi="宋体" w:eastAsia="宋体" w:cs="宋体"/>
                <w:sz w:val="24"/>
                <w:szCs w:val="24"/>
                <w:highlight w:val="none"/>
                <w:lang w:eastAsia="zh-CN"/>
              </w:rPr>
              <w:t>2026年05月13日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0前</w:t>
            </w:r>
          </w:p>
          <w:p w14:paraId="5E16843E">
            <w:pPr>
              <w:pStyle w:val="58"/>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2、开标时间：</w:t>
            </w:r>
            <w:r>
              <w:rPr>
                <w:rFonts w:hint="eastAsia" w:ascii="宋体" w:hAnsi="宋体" w:eastAsia="宋体" w:cs="宋体"/>
                <w:sz w:val="24"/>
                <w:szCs w:val="24"/>
                <w:highlight w:val="none"/>
                <w:lang w:eastAsia="zh-CN"/>
              </w:rPr>
              <w:t>2026年05月13日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0整</w:t>
            </w:r>
          </w:p>
          <w:p w14:paraId="646BD352">
            <w:pPr>
              <w:pStyle w:val="58"/>
              <w:spacing w:line="500" w:lineRule="exac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t>3、开标地点：全国公共资源交易平台（陕西省.宝鸡市）不见面开标大厅系统</w:t>
            </w:r>
          </w:p>
        </w:tc>
      </w:tr>
      <w:tr w14:paraId="6BDB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09" w:type="dxa"/>
            <w:vAlign w:val="center"/>
          </w:tcPr>
          <w:p w14:paraId="6B1C1494">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4" w:type="dxa"/>
            <w:vAlign w:val="center"/>
          </w:tcPr>
          <w:p w14:paraId="5028C510">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投标有效期</w:t>
            </w:r>
          </w:p>
        </w:tc>
        <w:tc>
          <w:tcPr>
            <w:tcW w:w="6546" w:type="dxa"/>
            <w:vAlign w:val="center"/>
          </w:tcPr>
          <w:p w14:paraId="045CF400">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自提交响应文件的截止之日起90日历天</w:t>
            </w:r>
          </w:p>
        </w:tc>
      </w:tr>
      <w:tr w14:paraId="2D72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709" w:type="dxa"/>
            <w:vAlign w:val="center"/>
          </w:tcPr>
          <w:p w14:paraId="77A3090B">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19</w:t>
            </w:r>
          </w:p>
        </w:tc>
        <w:tc>
          <w:tcPr>
            <w:tcW w:w="2084" w:type="dxa"/>
            <w:vAlign w:val="center"/>
          </w:tcPr>
          <w:p w14:paraId="0EDE20A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磋商保证金</w:t>
            </w:r>
          </w:p>
        </w:tc>
        <w:tc>
          <w:tcPr>
            <w:tcW w:w="6546" w:type="dxa"/>
            <w:vAlign w:val="center"/>
          </w:tcPr>
          <w:p w14:paraId="49BD1FD4">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磋商保证金的形式：转账支票、电汇、银行汇票、保函</w:t>
            </w:r>
            <w:r>
              <w:rPr>
                <w:rFonts w:hint="eastAsia" w:ascii="宋体" w:hAnsi="宋体" w:eastAsia="宋体" w:cs="宋体"/>
                <w:color w:val="000000" w:themeColor="text1"/>
                <w:szCs w:val="24"/>
                <w:lang w:eastAsia="zh-CN"/>
                <w14:textFill>
                  <w14:solidFill>
                    <w14:schemeClr w14:val="tx1"/>
                  </w14:solidFill>
                </w14:textFill>
              </w:rPr>
              <w:t>、交易保证金信用承诺书</w:t>
            </w:r>
            <w:r>
              <w:rPr>
                <w:rFonts w:hint="eastAsia" w:ascii="宋体" w:hAnsi="宋体" w:eastAsia="宋体" w:cs="宋体"/>
                <w:color w:val="000000" w:themeColor="text1"/>
                <w:szCs w:val="24"/>
                <w14:textFill>
                  <w14:solidFill>
                    <w14:schemeClr w14:val="tx1"/>
                  </w14:solidFill>
                </w14:textFill>
              </w:rPr>
              <w:t>的任何一种。</w:t>
            </w:r>
          </w:p>
          <w:p w14:paraId="3221F7E9">
            <w:pPr>
              <w:spacing w:line="500" w:lineRule="exact"/>
              <w:rPr>
                <w:rFonts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磋商保证金金额：</w:t>
            </w:r>
            <w:r>
              <w:rPr>
                <w:rFonts w:hint="eastAsia" w:ascii="宋体" w:hAnsi="宋体" w:eastAsia="宋体" w:cs="宋体"/>
                <w:highlight w:val="none"/>
                <w:lang w:val="en-US" w:eastAsia="zh-CN"/>
              </w:rPr>
              <w:t>5000.00</w:t>
            </w:r>
            <w:r>
              <w:rPr>
                <w:rFonts w:hint="eastAsia" w:ascii="宋体" w:hAnsi="宋体" w:eastAsia="宋体" w:cs="宋体"/>
                <w:highlight w:val="none"/>
              </w:rPr>
              <w:t>元（</w:t>
            </w:r>
            <w:r>
              <w:rPr>
                <w:rFonts w:hint="eastAsia" w:ascii="宋体" w:hAnsi="宋体" w:eastAsia="宋体" w:cs="宋体"/>
                <w:highlight w:val="none"/>
                <w:lang w:val="en-US" w:eastAsia="zh-CN"/>
              </w:rPr>
              <w:t>伍仟元整</w:t>
            </w:r>
            <w:r>
              <w:rPr>
                <w:rFonts w:hint="eastAsia" w:ascii="宋体" w:hAnsi="宋体" w:eastAsia="宋体" w:cs="宋体"/>
                <w:highlight w:val="none"/>
              </w:rPr>
              <w:t>）</w:t>
            </w:r>
          </w:p>
          <w:p w14:paraId="7707158C">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2、供应商须按规定时间（响应文件递交截止时间）和方式提交磋商保证金。</w:t>
            </w:r>
          </w:p>
          <w:p w14:paraId="7E5482DA">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除采购人或采购代理机构方面原因外，以转账支付竞争性磋商保证金未能如期到账（基本账户转出），视为未递交竞争性磋商保证金。（不接受以个人名义交纳的保证金，交纳保证金的供应商名称须与参与磋商的供应商名称一致，否则不予退还。）</w:t>
            </w:r>
          </w:p>
          <w:p w14:paraId="59E5A104">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4、采用银行保函递交时间:所投项目开标前2-3个工作日递交至采购代理机构。</w:t>
            </w:r>
          </w:p>
          <w:p w14:paraId="57C39872">
            <w:pPr>
              <w:tabs>
                <w:tab w:val="left" w:pos="7013"/>
              </w:tabs>
              <w:spacing w:line="500" w:lineRule="exac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5、采用保险公司保单(或担保公司保单)递交时间:所投项目开标前1-2个工作日递交至采购代理机构。</w:t>
            </w:r>
          </w:p>
          <w:p w14:paraId="27743A77">
            <w:pPr>
              <w:tabs>
                <w:tab w:val="left" w:pos="7013"/>
              </w:tabs>
              <w:spacing w:line="500" w:lineRule="exact"/>
              <w:rPr>
                <w:rFonts w:hint="eastAsia" w:eastAsiaTheme="minorEastAsia"/>
                <w:highlight w:val="none"/>
                <w:lang w:val="en-US" w:eastAsia="zh-CN"/>
              </w:rPr>
            </w:pPr>
            <w:r>
              <w:rPr>
                <w:rFonts w:hint="eastAsia" w:ascii="宋体" w:hAnsi="宋体" w:eastAsia="宋体" w:cs="宋体"/>
                <w:color w:val="000000" w:themeColor="text1"/>
                <w:szCs w:val="24"/>
                <w:lang w:val="en-US" w:eastAsia="zh-CN"/>
                <w14:textFill>
                  <w14:solidFill>
                    <w14:schemeClr w14:val="tx1"/>
                  </w14:solidFill>
                </w14:textFill>
              </w:rPr>
              <w:t>6、采用交易保证金信用承诺书递交时间:所投项目开标前1-2个工作日递交至采购代理机构。</w:t>
            </w:r>
          </w:p>
        </w:tc>
      </w:tr>
      <w:tr w14:paraId="5A5C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709" w:type="dxa"/>
            <w:vAlign w:val="center"/>
          </w:tcPr>
          <w:p w14:paraId="76DDAFF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0</w:t>
            </w:r>
          </w:p>
        </w:tc>
        <w:tc>
          <w:tcPr>
            <w:tcW w:w="2084" w:type="dxa"/>
            <w:vAlign w:val="center"/>
          </w:tcPr>
          <w:p w14:paraId="685B2632">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汇款账户</w:t>
            </w:r>
          </w:p>
        </w:tc>
        <w:tc>
          <w:tcPr>
            <w:tcW w:w="6546" w:type="dxa"/>
            <w:vAlign w:val="center"/>
          </w:tcPr>
          <w:p w14:paraId="28261754">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户    名：宝鸡市公共资源交易中心保证金专户</w:t>
            </w:r>
          </w:p>
          <w:p w14:paraId="1C756180">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开 户 行：长安银行股份有限公司宝鸡分行营业部</w:t>
            </w:r>
          </w:p>
          <w:p w14:paraId="25EC383D">
            <w:pPr>
              <w:pStyle w:val="10"/>
              <w:spacing w:line="500" w:lineRule="exact"/>
              <w:ind w:firstLine="0"/>
              <w:rPr>
                <w:rFonts w:hint="eastAsia" w:ascii="宋体" w:hAnsi="宋体" w:eastAsia="宋体" w:cs="宋体"/>
                <w:snapToGrid w:val="0"/>
                <w:color w:val="000000" w:themeColor="text1"/>
                <w:sz w:val="24"/>
                <w:szCs w:val="24"/>
                <w:highlight w:val="none"/>
                <w:lang w:eastAsia="zh-CN"/>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 xml:space="preserve">帐  </w:t>
            </w:r>
            <w:r>
              <w:rPr>
                <w:rFonts w:hint="eastAsia" w:ascii="宋体" w:hAnsi="宋体" w:cs="宋体"/>
                <w:snapToGrid w:val="0"/>
                <w:color w:val="auto"/>
                <w:sz w:val="24"/>
                <w:szCs w:val="24"/>
                <w:highlight w:val="none"/>
              </w:rPr>
              <w:t xml:space="preserve">  号：80602000142101980617609</w:t>
            </w:r>
          </w:p>
          <w:p w14:paraId="58E39CE6">
            <w:pPr>
              <w:pStyle w:val="10"/>
              <w:spacing w:line="500" w:lineRule="exact"/>
              <w:ind w:firstLine="0"/>
              <w:rPr>
                <w:rFonts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备    注：</w:t>
            </w:r>
            <w:r>
              <w:rPr>
                <w:rFonts w:hint="eastAsia" w:ascii="宋体" w:hAnsi="宋体" w:cs="宋体"/>
                <w:snapToGrid w:val="0"/>
                <w:color w:val="000000" w:themeColor="text1"/>
                <w:sz w:val="24"/>
                <w:szCs w:val="24"/>
                <w:highlight w:val="none"/>
                <w:lang w:val="en-US" w:eastAsia="zh-CN"/>
                <w14:textFill>
                  <w14:solidFill>
                    <w14:schemeClr w14:val="tx1"/>
                  </w14:solidFill>
                </w14:textFill>
              </w:rPr>
              <w:t>该项目子账户后5位数字</w:t>
            </w:r>
          </w:p>
          <w:p w14:paraId="74A7208A">
            <w:pPr>
              <w:pStyle w:val="57"/>
              <w:spacing w:line="500" w:lineRule="exact"/>
              <w:ind w:firstLine="0" w:firstLineChars="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注:</w:t>
            </w:r>
            <w:r>
              <w:rPr>
                <w:rFonts w:hint="eastAsia" w:ascii="宋体" w:hAnsi="宋体" w:eastAsia="宋体" w:cs="宋体"/>
                <w:bCs/>
                <w:color w:val="000000" w:themeColor="text1"/>
                <w:sz w:val="24"/>
                <w:szCs w:val="24"/>
                <w:highlight w:val="none"/>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参与磋商的供应商</w:t>
            </w:r>
            <w:r>
              <w:rPr>
                <w:rFonts w:hint="eastAsia" w:ascii="宋体" w:hAnsi="宋体" w:eastAsia="宋体" w:cs="宋体"/>
                <w:b/>
                <w:color w:val="000000" w:themeColor="text1"/>
                <w:sz w:val="24"/>
                <w:szCs w:val="24"/>
                <w:highlight w:val="none"/>
                <w14:textFill>
                  <w14:solidFill>
                    <w14:schemeClr w14:val="tx1"/>
                  </w14:solidFill>
                </w14:textFill>
              </w:rPr>
              <w:t>未交纳、或者未足额交纳、或者未按规定时限交纳保证金的，将被视为自动放弃参与投标的权利。</w:t>
            </w:r>
          </w:p>
        </w:tc>
      </w:tr>
      <w:tr w14:paraId="5A2C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9" w:type="dxa"/>
            <w:vAlign w:val="center"/>
          </w:tcPr>
          <w:p w14:paraId="1F21F4DF">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1</w:t>
            </w:r>
          </w:p>
        </w:tc>
        <w:tc>
          <w:tcPr>
            <w:tcW w:w="2084" w:type="dxa"/>
            <w:vAlign w:val="center"/>
          </w:tcPr>
          <w:p w14:paraId="15C05D3A">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备选投标方案</w:t>
            </w:r>
          </w:p>
          <w:p w14:paraId="7683FAC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和报价</w:t>
            </w:r>
          </w:p>
        </w:tc>
        <w:tc>
          <w:tcPr>
            <w:tcW w:w="6546" w:type="dxa"/>
            <w:vAlign w:val="center"/>
          </w:tcPr>
          <w:p w14:paraId="03CE1967">
            <w:pPr>
              <w:tabs>
                <w:tab w:val="left" w:pos="7013"/>
              </w:tabs>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不接受备选投标方案和多个报价。</w:t>
            </w:r>
          </w:p>
        </w:tc>
      </w:tr>
      <w:tr w14:paraId="677C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jc w:val="center"/>
        </w:trPr>
        <w:tc>
          <w:tcPr>
            <w:tcW w:w="709" w:type="dxa"/>
            <w:vAlign w:val="center"/>
          </w:tcPr>
          <w:p w14:paraId="5B26FB02">
            <w:pPr>
              <w:spacing w:line="500" w:lineRule="exact"/>
              <w:jc w:val="cente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2</w:t>
            </w:r>
          </w:p>
        </w:tc>
        <w:tc>
          <w:tcPr>
            <w:tcW w:w="2084" w:type="dxa"/>
            <w:vAlign w:val="center"/>
          </w:tcPr>
          <w:p w14:paraId="449DBFC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盖章签字</w:t>
            </w:r>
          </w:p>
        </w:tc>
        <w:tc>
          <w:tcPr>
            <w:tcW w:w="6546" w:type="dxa"/>
            <w:vAlign w:val="center"/>
          </w:tcPr>
          <w:p w14:paraId="2E41BE94">
            <w:pPr>
              <w:tabs>
                <w:tab w:val="left" w:pos="7013"/>
              </w:tabs>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供应商必须按照竞争性磋商文件的规定和要求</w:t>
            </w:r>
            <w:bookmarkStart w:id="15" w:name="OLE_LINK5"/>
            <w:r>
              <w:rPr>
                <w:rFonts w:hint="eastAsia" w:ascii="宋体" w:hAnsi="宋体" w:eastAsia="宋体" w:cs="宋体"/>
                <w:color w:val="000000" w:themeColor="text1"/>
                <w:szCs w:val="24"/>
                <w:highlight w:val="none"/>
                <w14:textFill>
                  <w14:solidFill>
                    <w14:schemeClr w14:val="tx1"/>
                  </w14:solidFill>
                </w14:textFill>
              </w:rPr>
              <w:t>由法定代表人或被授权人签字（或盖章），并加盖供应商公章。</w:t>
            </w:r>
            <w:bookmarkEnd w:id="15"/>
          </w:p>
        </w:tc>
      </w:tr>
      <w:tr w14:paraId="137E6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09" w:type="dxa"/>
            <w:vAlign w:val="center"/>
          </w:tcPr>
          <w:p w14:paraId="79D5538A">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23</w:t>
            </w:r>
          </w:p>
        </w:tc>
        <w:tc>
          <w:tcPr>
            <w:tcW w:w="2084" w:type="dxa"/>
            <w:vAlign w:val="center"/>
          </w:tcPr>
          <w:p w14:paraId="1B35330C">
            <w:pPr>
              <w:spacing w:line="50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磋商响应文件</w:t>
            </w:r>
          </w:p>
          <w:p w14:paraId="5B671596">
            <w:pPr>
              <w:spacing w:line="50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auto"/>
                <w:szCs w:val="24"/>
                <w:lang w:val="en-US" w:eastAsia="zh-CN"/>
              </w:rPr>
              <w:t>份数</w:t>
            </w:r>
          </w:p>
        </w:tc>
        <w:tc>
          <w:tcPr>
            <w:tcW w:w="6546" w:type="dxa"/>
            <w:vAlign w:val="center"/>
          </w:tcPr>
          <w:p w14:paraId="213F40C6">
            <w:pPr>
              <w:pStyle w:val="13"/>
              <w:spacing w:line="500" w:lineRule="exac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1、*.SXSZF格式电子版1份，在规定时间内上传至宝鸡市公共资源交易中心平台；</w:t>
            </w:r>
          </w:p>
          <w:p w14:paraId="28C2F3BA">
            <w:pPr>
              <w:pStyle w:val="13"/>
              <w:spacing w:line="50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Cs w:val="24"/>
                <w:highlight w:val="none"/>
                <w:lang w:val="en-US" w:eastAsia="zh-CN"/>
              </w:rPr>
              <w:t>2、成交供应商</w:t>
            </w:r>
            <w:r>
              <w:rPr>
                <w:rFonts w:hint="eastAsia" w:ascii="宋体" w:hAnsi="宋体" w:eastAsia="宋体" w:cs="宋体"/>
                <w:color w:val="auto"/>
                <w:szCs w:val="24"/>
                <w:highlight w:val="none"/>
              </w:rPr>
              <w:t>在领取成交通知书时向采购代理机构</w:t>
            </w:r>
            <w:r>
              <w:rPr>
                <w:rFonts w:hint="eastAsia" w:ascii="宋体" w:hAnsi="宋体" w:eastAsia="宋体" w:cs="宋体"/>
                <w:color w:val="auto"/>
                <w:szCs w:val="24"/>
                <w:highlight w:val="none"/>
                <w:lang w:val="en-US" w:eastAsia="zh-CN"/>
              </w:rPr>
              <w:t>提供纸质</w:t>
            </w:r>
            <w:r>
              <w:rPr>
                <w:rFonts w:hint="eastAsia" w:ascii="宋体" w:hAnsi="宋体" w:eastAsia="宋体" w:cs="宋体"/>
                <w:color w:val="auto"/>
                <w:szCs w:val="24"/>
                <w:highlight w:val="none"/>
              </w:rPr>
              <w:t>响应文件正本一份，副本二份，电子文件U盘一份（</w:t>
            </w:r>
            <w:r>
              <w:rPr>
                <w:rFonts w:hint="eastAsia" w:ascii="宋体" w:hAnsi="宋体" w:eastAsia="宋体" w:cs="宋体"/>
                <w:color w:val="auto"/>
                <w:szCs w:val="24"/>
                <w:highlight w:val="none"/>
                <w:lang w:val="en-US" w:eastAsia="zh-CN"/>
              </w:rPr>
              <w:t>内含签章版文件PDF格式及word版</w:t>
            </w:r>
            <w:r>
              <w:rPr>
                <w:rFonts w:hint="eastAsia" w:ascii="宋体" w:hAnsi="宋体" w:eastAsia="宋体" w:cs="宋体"/>
                <w:color w:val="auto"/>
                <w:szCs w:val="24"/>
                <w:highlight w:val="none"/>
              </w:rPr>
              <w:t>）。提交的纸质响应文件与网上上传的电子响应文件内容</w:t>
            </w:r>
            <w:r>
              <w:rPr>
                <w:rFonts w:hint="eastAsia" w:ascii="宋体" w:hAnsi="宋体" w:eastAsia="宋体" w:cs="宋体"/>
                <w:color w:val="auto"/>
                <w:szCs w:val="24"/>
                <w:highlight w:val="none"/>
                <w:lang w:val="en-US" w:eastAsia="zh-CN"/>
              </w:rPr>
              <w:t>应</w:t>
            </w:r>
            <w:r>
              <w:rPr>
                <w:rFonts w:hint="eastAsia" w:ascii="宋体" w:hAnsi="宋体" w:eastAsia="宋体" w:cs="宋体"/>
                <w:color w:val="auto"/>
                <w:szCs w:val="24"/>
                <w:highlight w:val="none"/>
              </w:rPr>
              <w:t>一致，若不一致导致的一切后果由供应商自负。正本和副本的封面上应清楚的标记“正本”或“副本”的字样。响应文件的正本与副本均应采用A4纸</w:t>
            </w:r>
            <w:r>
              <w:rPr>
                <w:rFonts w:hint="eastAsia" w:ascii="宋体" w:hAnsi="宋体" w:eastAsia="宋体" w:cs="宋体"/>
                <w:b/>
                <w:bCs/>
                <w:color w:val="auto"/>
                <w:szCs w:val="24"/>
                <w:highlight w:val="none"/>
                <w:lang w:val="en-US" w:eastAsia="zh-CN"/>
              </w:rPr>
              <w:t>双面</w:t>
            </w:r>
            <w:r>
              <w:rPr>
                <w:rFonts w:hint="eastAsia" w:ascii="宋体" w:hAnsi="宋体" w:eastAsia="宋体" w:cs="宋体"/>
                <w:b/>
                <w:bCs/>
                <w:color w:val="auto"/>
                <w:szCs w:val="24"/>
                <w:highlight w:val="none"/>
              </w:rPr>
              <w:t>印刷</w:t>
            </w: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lang w:val="en-US" w:eastAsia="zh-CN"/>
              </w:rPr>
              <w:t>逐页加盖鲜章</w:t>
            </w:r>
            <w:r>
              <w:rPr>
                <w:rFonts w:hint="eastAsia" w:ascii="宋体" w:hAnsi="宋体" w:eastAsia="宋体" w:cs="宋体"/>
                <w:color w:val="auto"/>
                <w:szCs w:val="24"/>
                <w:highlight w:val="none"/>
              </w:rPr>
              <w:t>，分别各自胶装成册，</w:t>
            </w:r>
            <w:r>
              <w:rPr>
                <w:rFonts w:hint="eastAsia" w:ascii="宋体" w:hAnsi="宋体" w:eastAsia="宋体" w:cs="宋体"/>
                <w:b/>
                <w:bCs/>
                <w:color w:val="auto"/>
                <w:szCs w:val="24"/>
                <w:highlight w:val="none"/>
              </w:rPr>
              <w:t>并编制目录</w:t>
            </w:r>
            <w:r>
              <w:rPr>
                <w:rFonts w:hint="eastAsia" w:ascii="宋体" w:hAnsi="宋体" w:eastAsia="宋体" w:cs="宋体"/>
                <w:b/>
                <w:bCs/>
                <w:color w:val="auto"/>
                <w:szCs w:val="24"/>
                <w:highlight w:val="none"/>
                <w:lang w:val="en-US" w:eastAsia="zh-CN"/>
              </w:rPr>
              <w:t>及连续</w:t>
            </w:r>
            <w:r>
              <w:rPr>
                <w:rFonts w:hint="eastAsia" w:ascii="宋体" w:hAnsi="宋体" w:eastAsia="宋体" w:cs="宋体"/>
                <w:b/>
                <w:bCs/>
                <w:color w:val="auto"/>
                <w:szCs w:val="24"/>
                <w:highlight w:val="none"/>
              </w:rPr>
              <w:t>页码。</w:t>
            </w:r>
          </w:p>
        </w:tc>
      </w:tr>
      <w:tr w14:paraId="3339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09" w:type="dxa"/>
            <w:vAlign w:val="center"/>
          </w:tcPr>
          <w:p w14:paraId="65BABD79">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4</w:t>
            </w:r>
          </w:p>
        </w:tc>
        <w:tc>
          <w:tcPr>
            <w:tcW w:w="2084" w:type="dxa"/>
            <w:vAlign w:val="center"/>
          </w:tcPr>
          <w:p w14:paraId="0C88A12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评标办法及标准</w:t>
            </w:r>
          </w:p>
        </w:tc>
        <w:tc>
          <w:tcPr>
            <w:tcW w:w="6546" w:type="dxa"/>
            <w:vAlign w:val="center"/>
          </w:tcPr>
          <w:p w14:paraId="0DC4D9EF">
            <w:pPr>
              <w:pStyle w:val="58"/>
              <w:spacing w:line="500" w:lineRule="exac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详见竞争性磋商文件</w:t>
            </w:r>
          </w:p>
        </w:tc>
      </w:tr>
      <w:tr w14:paraId="4406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709" w:type="dxa"/>
            <w:vAlign w:val="center"/>
          </w:tcPr>
          <w:p w14:paraId="37573605">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5</w:t>
            </w:r>
          </w:p>
        </w:tc>
        <w:tc>
          <w:tcPr>
            <w:tcW w:w="2084" w:type="dxa"/>
            <w:vAlign w:val="center"/>
          </w:tcPr>
          <w:p w14:paraId="37C0329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其它事项</w:t>
            </w:r>
          </w:p>
        </w:tc>
        <w:tc>
          <w:tcPr>
            <w:tcW w:w="6546" w:type="dxa"/>
            <w:vAlign w:val="center"/>
          </w:tcPr>
          <w:p w14:paraId="4A966AD8">
            <w:pPr>
              <w:numPr>
                <w:ilvl w:val="0"/>
                <w:numId w:val="2"/>
              </w:num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成交供应商与采购人在成交通知书发出25日内签订合同，不及时签订视为自动放弃。非经采购人同意，本项目不允许成交后另行转包或者分包。成交</w:t>
            </w:r>
            <w:r>
              <w:rPr>
                <w:rFonts w:hint="eastAsia" w:ascii="宋体" w:hAnsi="宋体" w:eastAsia="宋体" w:cs="宋体"/>
                <w:color w:val="000000" w:themeColor="text1"/>
                <w:kern w:val="0"/>
                <w:szCs w:val="24"/>
                <w:highlight w:val="none"/>
                <w14:textFill>
                  <w14:solidFill>
                    <w14:schemeClr w14:val="tx1"/>
                  </w14:solidFill>
                </w14:textFill>
              </w:rPr>
              <w:t>人无正当理由不得放弃</w:t>
            </w:r>
            <w:r>
              <w:rPr>
                <w:rFonts w:hint="eastAsia" w:ascii="宋体" w:hAnsi="宋体" w:eastAsia="宋体" w:cs="宋体"/>
                <w:color w:val="000000" w:themeColor="text1"/>
                <w:szCs w:val="24"/>
                <w:highlight w:val="none"/>
                <w14:textFill>
                  <w14:solidFill>
                    <w14:schemeClr w14:val="tx1"/>
                  </w14:solidFill>
                </w14:textFill>
              </w:rPr>
              <w:t>成交</w:t>
            </w:r>
            <w:r>
              <w:rPr>
                <w:rFonts w:hint="eastAsia" w:ascii="宋体" w:hAnsi="宋体" w:eastAsia="宋体" w:cs="宋体"/>
                <w:color w:val="000000" w:themeColor="text1"/>
                <w:kern w:val="0"/>
                <w:szCs w:val="24"/>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因自身原因拒绝签订政府采购合同的或者未按合同约定进行履约的，成交人不得参加对该项目重新开展的采购活动。</w:t>
            </w:r>
          </w:p>
        </w:tc>
      </w:tr>
      <w:tr w14:paraId="2B38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09" w:type="dxa"/>
            <w:vAlign w:val="center"/>
          </w:tcPr>
          <w:p w14:paraId="703255FC">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4" w:type="dxa"/>
            <w:vAlign w:val="center"/>
          </w:tcPr>
          <w:p w14:paraId="5E57B20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招标代理服务费</w:t>
            </w:r>
          </w:p>
        </w:tc>
        <w:tc>
          <w:tcPr>
            <w:tcW w:w="6546" w:type="dxa"/>
            <w:vAlign w:val="center"/>
          </w:tcPr>
          <w:p w14:paraId="51D5D177">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1、招标代理服务</w:t>
            </w:r>
            <w:r>
              <w:rPr>
                <w:rFonts w:hint="eastAsia" w:ascii="宋体" w:hAnsi="宋体" w:eastAsia="宋体" w:cs="宋体"/>
                <w:color w:val="auto"/>
                <w:szCs w:val="24"/>
                <w:highlight w:val="none"/>
              </w:rPr>
              <w:t>费由</w:t>
            </w:r>
            <w:r>
              <w:rPr>
                <w:rFonts w:hint="eastAsia" w:ascii="宋体" w:hAnsi="宋体" w:eastAsia="宋体" w:cs="宋体"/>
                <w:color w:val="auto"/>
                <w:szCs w:val="24"/>
                <w:highlight w:val="none"/>
                <w:lang w:val="en-US" w:eastAsia="zh-CN"/>
              </w:rPr>
              <w:t>成交供应商</w:t>
            </w:r>
            <w:r>
              <w:rPr>
                <w:rFonts w:hint="eastAsia" w:ascii="宋体" w:hAnsi="宋体" w:eastAsia="宋体" w:cs="宋体"/>
                <w:color w:val="auto"/>
                <w:szCs w:val="24"/>
                <w:highlight w:val="none"/>
              </w:rPr>
              <w:t>向采购代</w:t>
            </w:r>
            <w:r>
              <w:rPr>
                <w:rFonts w:hint="eastAsia" w:ascii="宋体" w:hAnsi="宋体" w:eastAsia="宋体" w:cs="宋体"/>
                <w:color w:val="000000" w:themeColor="text1"/>
                <w:szCs w:val="24"/>
                <w:highlight w:val="none"/>
                <w14:textFill>
                  <w14:solidFill>
                    <w14:schemeClr w14:val="tx1"/>
                  </w14:solidFill>
                </w14:textFill>
              </w:rPr>
              <w:t>理机构支付。</w:t>
            </w:r>
          </w:p>
          <w:p w14:paraId="59A067A1">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招标代理服务费依据《国家计委关于印发招标代理服务收费管理暂行办法的通知》（计价格【2002】1980号）和国家发改委办公厅颁发的《关于招标代理服务收费有关问题的通知》（发改办价格【2003】857号）文件规定</w:t>
            </w:r>
            <w:r>
              <w:rPr>
                <w:rFonts w:hint="eastAsia" w:ascii="宋体" w:hAnsi="宋体" w:eastAsia="宋体" w:cs="宋体"/>
                <w:color w:val="000000" w:themeColor="text1"/>
                <w:szCs w:val="24"/>
                <w:highlight w:val="none"/>
                <w:lang w:val="en-US" w:eastAsia="zh-CN"/>
                <w14:textFill>
                  <w14:solidFill>
                    <w14:schemeClr w14:val="tx1"/>
                  </w14:solidFill>
                </w14:textFill>
              </w:rPr>
              <w:t>收取</w:t>
            </w:r>
            <w:r>
              <w:rPr>
                <w:rFonts w:hint="eastAsia" w:ascii="宋体" w:hAnsi="宋体" w:eastAsia="宋体" w:cs="宋体"/>
                <w:color w:val="000000" w:themeColor="text1"/>
                <w:szCs w:val="24"/>
                <w:highlight w:val="none"/>
                <w14:textFill>
                  <w14:solidFill>
                    <w14:schemeClr w14:val="tx1"/>
                  </w14:solidFill>
                </w14:textFill>
              </w:rPr>
              <w:t>。</w:t>
            </w:r>
          </w:p>
          <w:p w14:paraId="3092B9D3">
            <w:pPr>
              <w:pStyle w:val="13"/>
              <w:spacing w:line="500" w:lineRule="exact"/>
              <w:rPr>
                <w:rFonts w:hint="eastAsia" w:ascii="宋体" w:hAnsi="宋体" w:eastAsia="宋体" w:cs="宋体"/>
                <w:color w:val="000000" w:themeColor="text1"/>
                <w:szCs w:val="24"/>
                <w:highlight w:val="red"/>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3、此费用各供应商应充分考虑在磋商报价内，采购人不在为此支付任何费用，且必须保证本次项目的服务质量</w:t>
            </w:r>
          </w:p>
        </w:tc>
      </w:tr>
      <w:tr w14:paraId="0CE8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709" w:type="dxa"/>
            <w:vAlign w:val="center"/>
          </w:tcPr>
          <w:p w14:paraId="1B27AC72">
            <w:pPr>
              <w:spacing w:line="500" w:lineRule="exact"/>
              <w:jc w:val="center"/>
              <w:rPr>
                <w:rFonts w:hint="default" w:ascii="宋体" w:hAnsi="宋体" w:eastAsia="宋体" w:cs="宋体"/>
                <w:color w:val="000000" w:themeColor="text1"/>
                <w:szCs w:val="24"/>
                <w:highlight w:val="none"/>
                <w:lang w:val="en-US"/>
                <w14:textFill>
                  <w14:solidFill>
                    <w14:schemeClr w14:val="tx1"/>
                  </w14:solidFill>
                </w14:textFill>
              </w:rPr>
            </w:pPr>
            <w:bookmarkStart w:id="16" w:name="_Toc4919"/>
            <w:r>
              <w:rPr>
                <w:rFonts w:hint="eastAsia" w:ascii="宋体" w:hAnsi="宋体" w:eastAsia="宋体" w:cs="宋体"/>
                <w:color w:val="000000" w:themeColor="text1"/>
                <w:szCs w:val="24"/>
                <w:lang w:val="en-US" w:eastAsia="zh-CN"/>
                <w14:textFill>
                  <w14:solidFill>
                    <w14:schemeClr w14:val="tx1"/>
                  </w14:solidFill>
                </w14:textFill>
              </w:rPr>
              <w:t>27</w:t>
            </w:r>
          </w:p>
        </w:tc>
        <w:tc>
          <w:tcPr>
            <w:tcW w:w="2084" w:type="dxa"/>
            <w:vAlign w:val="center"/>
          </w:tcPr>
          <w:p w14:paraId="50F83E1A">
            <w:pPr>
              <w:spacing w:line="500" w:lineRule="exact"/>
              <w:jc w:val="center"/>
              <w:rPr>
                <w:rFonts w:hint="eastAsia" w:ascii="宋体" w:hAnsi="宋体" w:eastAsia="宋体" w:cs="宋体"/>
                <w:color w:val="auto"/>
                <w:szCs w:val="24"/>
                <w:highlight w:val="none"/>
                <w:lang w:val="en-US" w:eastAsia="zh-CN"/>
              </w:rPr>
            </w:pPr>
            <w:r>
              <w:rPr>
                <w:rFonts w:hint="eastAsia" w:ascii="宋体" w:hAnsi="宋体" w:eastAsia="宋体" w:cs="宋体"/>
                <w:color w:val="000000" w:themeColor="text1"/>
                <w:szCs w:val="24"/>
                <w:highlight w:val="none"/>
                <w:lang w:val="en-US" w:eastAsia="zh-CN"/>
                <w14:textFill>
                  <w14:solidFill>
                    <w14:schemeClr w14:val="tx1"/>
                  </w14:solidFill>
                </w14:textFill>
              </w:rPr>
              <w:t>磋商小组组成</w:t>
            </w:r>
          </w:p>
        </w:tc>
        <w:tc>
          <w:tcPr>
            <w:tcW w:w="6546" w:type="dxa"/>
            <w:vAlign w:val="center"/>
          </w:tcPr>
          <w:p w14:paraId="4FEB6DC4">
            <w:pPr>
              <w:pStyle w:val="80"/>
              <w:spacing w:before="109"/>
              <w:ind w:right="-29" w:rightChars="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磋商小组共3人，从陕西省政府采购专家库随机抽取</w:t>
            </w:r>
            <w:r>
              <w:rPr>
                <w:rFonts w:hint="eastAsia" w:cs="宋体"/>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w:t>
            </w:r>
          </w:p>
        </w:tc>
      </w:tr>
      <w:tr w14:paraId="75DD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709" w:type="dxa"/>
            <w:vAlign w:val="center"/>
          </w:tcPr>
          <w:p w14:paraId="674A13C0">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4" w:type="dxa"/>
            <w:vAlign w:val="center"/>
          </w:tcPr>
          <w:p w14:paraId="22856A65">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auto"/>
                <w:szCs w:val="24"/>
                <w:highlight w:val="none"/>
                <w:lang w:val="en-US" w:eastAsia="zh-CN"/>
              </w:rPr>
              <w:t>所属行业</w:t>
            </w:r>
          </w:p>
        </w:tc>
        <w:tc>
          <w:tcPr>
            <w:tcW w:w="6546" w:type="dxa"/>
            <w:vAlign w:val="center"/>
          </w:tcPr>
          <w:p w14:paraId="75BB4DB7">
            <w:pPr>
              <w:spacing w:line="500" w:lineRule="exact"/>
              <w:jc w:val="lef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其他未列明行业</w:t>
            </w:r>
          </w:p>
        </w:tc>
      </w:tr>
    </w:tbl>
    <w:p w14:paraId="29201232">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二、项目说明</w:t>
      </w:r>
      <w:bookmarkEnd w:id="16"/>
    </w:p>
    <w:p w14:paraId="0B802865">
      <w:pPr>
        <w:spacing w:line="560" w:lineRule="exact"/>
        <w:ind w:firstLine="57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1、本项目说明详见供应商须知前附表。</w:t>
      </w:r>
      <w:bookmarkStart w:id="17" w:name="_Toc458617732"/>
      <w:bookmarkStart w:id="18" w:name="_Toc458617455"/>
    </w:p>
    <w:p w14:paraId="56399B2E">
      <w:pPr>
        <w:spacing w:line="560" w:lineRule="exact"/>
        <w:ind w:firstLine="57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2、本项目按照《中华人民共和国政府采购法》等有关法律、行政法规和部门规章，通过竞争性磋商方式择优选定中标人。</w:t>
      </w:r>
    </w:p>
    <w:bookmarkEnd w:id="17"/>
    <w:bookmarkEnd w:id="18"/>
    <w:p w14:paraId="7A38EFB6">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19" w:name="_Toc458617456"/>
      <w:bookmarkStart w:id="20" w:name="_Toc458617733"/>
      <w:bookmarkStart w:id="21" w:name="_Toc15666"/>
      <w:r>
        <w:rPr>
          <w:rFonts w:hint="eastAsia" w:ascii="宋体" w:hAnsi="宋体" w:eastAsia="宋体" w:cs="宋体"/>
          <w:color w:val="000000" w:themeColor="text1"/>
          <w:kern w:val="0"/>
          <w:sz w:val="28"/>
          <w:szCs w:val="28"/>
          <w:highlight w:val="none"/>
          <w14:textFill>
            <w14:solidFill>
              <w14:schemeClr w14:val="tx1"/>
            </w14:solidFill>
          </w14:textFill>
        </w:rPr>
        <w:t>三、</w:t>
      </w:r>
      <w:bookmarkEnd w:id="19"/>
      <w:bookmarkEnd w:id="20"/>
      <w:bookmarkEnd w:id="21"/>
      <w:r>
        <w:rPr>
          <w:rFonts w:hint="eastAsia" w:ascii="宋体" w:hAnsi="宋体" w:eastAsia="宋体" w:cs="宋体"/>
          <w:color w:val="000000" w:themeColor="text1"/>
          <w:kern w:val="0"/>
          <w:sz w:val="28"/>
          <w:szCs w:val="28"/>
          <w:highlight w:val="none"/>
          <w14:textFill>
            <w14:solidFill>
              <w14:schemeClr w14:val="tx1"/>
            </w14:solidFill>
          </w14:textFill>
        </w:rPr>
        <w:t xml:space="preserve"> 竞争性磋商文件</w:t>
      </w:r>
    </w:p>
    <w:p w14:paraId="4F30DE4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1、竞争性磋商文件获取：供应商须经过正常渠道获取竞争性磋商文件，否则将作为无效投标处理。</w:t>
      </w:r>
    </w:p>
    <w:p w14:paraId="32B361B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2、竞争性磋商文件的组成：包括目录所有内容。</w:t>
      </w:r>
    </w:p>
    <w:p w14:paraId="20E713C0">
      <w:pPr>
        <w:spacing w:line="560" w:lineRule="exact"/>
        <w:ind w:firstLine="480" w:firstLineChars="200"/>
        <w:rPr>
          <w:rFonts w:ascii="宋体" w:hAnsi="宋体" w:eastAsia="宋体" w:cs="宋体"/>
          <w:szCs w:val="24"/>
          <w:highlight w:val="none"/>
        </w:rPr>
      </w:pPr>
      <w:r>
        <w:rPr>
          <w:rFonts w:hint="eastAsia" w:ascii="宋体" w:hAnsi="宋体" w:eastAsia="宋体" w:cs="宋体"/>
          <w:color w:val="000000" w:themeColor="text1"/>
          <w:szCs w:val="24"/>
          <w:highlight w:val="none"/>
          <w14:textFill>
            <w14:solidFill>
              <w14:schemeClr w14:val="tx1"/>
            </w14:solidFill>
          </w14:textFill>
        </w:rPr>
        <w:t>2-1、电子竞争性磋商文件获取方式：1）</w:t>
      </w:r>
      <w:r>
        <w:rPr>
          <w:rFonts w:hint="eastAsia" w:ascii="宋体" w:hAnsi="宋体" w:eastAsia="宋体" w:cs="宋体"/>
          <w:color w:val="auto"/>
          <w:kern w:val="0"/>
          <w:szCs w:val="24"/>
          <w:highlight w:val="none"/>
          <w:lang w:eastAsia="zh-CN"/>
        </w:rPr>
        <w:t>获取竞争性磋商文件</w:t>
      </w:r>
      <w:r>
        <w:rPr>
          <w:rFonts w:hint="eastAsia" w:ascii="宋体" w:hAnsi="宋体" w:eastAsia="宋体" w:cs="宋体"/>
          <w:color w:val="auto"/>
          <w:kern w:val="0"/>
          <w:szCs w:val="24"/>
          <w:highlight w:val="none"/>
        </w:rPr>
        <w:t>登记</w:t>
      </w:r>
      <w:r>
        <w:rPr>
          <w:rFonts w:hint="eastAsia" w:ascii="宋体" w:hAnsi="宋体" w:eastAsia="宋体" w:cs="宋体"/>
          <w:color w:val="000000" w:themeColor="text1"/>
          <w:szCs w:val="24"/>
          <w:highlight w:val="none"/>
          <w14:textFill>
            <w14:solidFill>
              <w14:schemeClr w14:val="tx1"/>
            </w14:solidFill>
          </w14:textFill>
        </w:rPr>
        <w:t>：供应商使用捆绑CA证书登录全国公共资源交易平台（陕西省·宝鸡市）（</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/），选择电子交易平台中的陕西政府采购交易系统进行登录，登录后选择“交易乙方”身份进入供应商界面进行</w:t>
      </w:r>
      <w:r>
        <w:rPr>
          <w:rFonts w:hint="eastAsia" w:ascii="宋体" w:hAnsi="宋体" w:eastAsia="宋体" w:cs="宋体"/>
          <w:color w:val="000000" w:themeColor="text1"/>
          <w:szCs w:val="24"/>
          <w:highlight w:val="none"/>
          <w:lang w:eastAsia="zh-CN"/>
          <w14:textFill>
            <w14:solidFill>
              <w14:schemeClr w14:val="tx1"/>
            </w14:solidFill>
          </w14:textFill>
        </w:rPr>
        <w:t>获取竞争性磋商文件</w:t>
      </w:r>
      <w:r>
        <w:rPr>
          <w:rFonts w:hint="eastAsia" w:ascii="宋体" w:hAnsi="宋体" w:eastAsia="宋体" w:cs="宋体"/>
          <w:szCs w:val="24"/>
          <w:highlight w:val="none"/>
        </w:rPr>
        <w:t>。2）竞争性磋商文件下载：网上</w:t>
      </w:r>
      <w:r>
        <w:rPr>
          <w:rFonts w:hint="eastAsia" w:ascii="宋体" w:hAnsi="宋体" w:eastAsia="宋体" w:cs="宋体"/>
          <w:szCs w:val="24"/>
          <w:highlight w:val="none"/>
          <w:lang w:eastAsia="zh-CN"/>
        </w:rPr>
        <w:t>登记</w:t>
      </w:r>
      <w:r>
        <w:rPr>
          <w:rFonts w:hint="eastAsia" w:ascii="宋体" w:hAnsi="宋体" w:eastAsia="宋体" w:cs="宋体"/>
          <w:szCs w:val="24"/>
          <w:highlight w:val="none"/>
        </w:rPr>
        <w:t>成功后，供应商在获取时间段内</w:t>
      </w:r>
      <w:r>
        <w:rPr>
          <w:rFonts w:hint="eastAsia" w:ascii="宋体" w:hAnsi="宋体" w:eastAsia="宋体" w:cs="宋体"/>
          <w:szCs w:val="24"/>
          <w:highlight w:val="none"/>
          <w:lang w:eastAsia="zh-CN"/>
        </w:rPr>
        <w:t>2026年04月29日至2026年05月08日</w:t>
      </w:r>
      <w:r>
        <w:rPr>
          <w:rFonts w:hint="eastAsia" w:ascii="宋体" w:hAnsi="宋体" w:eastAsia="宋体" w:cs="宋体"/>
          <w:szCs w:val="24"/>
          <w:highlight w:val="none"/>
        </w:rPr>
        <w:t>，每日上午09:00:00-12:00:00，下午14:00:00-17:00:00（北京时间</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节假日除外</w:t>
      </w:r>
      <w:r>
        <w:rPr>
          <w:rFonts w:hint="eastAsia" w:ascii="宋体" w:hAnsi="宋体" w:eastAsia="宋体" w:cs="宋体"/>
          <w:szCs w:val="24"/>
          <w:highlight w:val="none"/>
        </w:rPr>
        <w:t>）可登录全国公共资源交易平台-陕西省公共资源交易平台（陕西省·宝鸡市）下载电子竞争性磋商文件，逾期未办理的，视为自动放弃。</w:t>
      </w:r>
    </w:p>
    <w:p w14:paraId="235BDA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2-2、电子竞争性磋商文件需要使用专用软件打开、浏览。</w:t>
      </w:r>
    </w:p>
    <w:p w14:paraId="6298282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3、供应商应认真审阅和充分理解竞争性磋商文件所有的事项、格式、条款和规范要求等，在响应文件中对竞争性磋商文件的各方面都做出实质性的响应，按照竞争性磋商文件的要求提交全部资料。</w:t>
      </w:r>
    </w:p>
    <w:p w14:paraId="34573D6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4、竞争性磋商文件的澄清或修改：</w:t>
      </w:r>
    </w:p>
    <w:p w14:paraId="29695D0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22" w:name="_Toc458617734"/>
      <w:bookmarkStart w:id="23" w:name="_Toc458617457"/>
      <w:r>
        <w:rPr>
          <w:rFonts w:hint="eastAsia" w:ascii="宋体" w:hAnsi="宋体" w:eastAsia="宋体" w:cs="宋体"/>
          <w:color w:val="000000" w:themeColor="text1"/>
          <w:szCs w:val="24"/>
          <w:highlight w:val="none"/>
          <w14:textFill>
            <w14:solidFill>
              <w14:schemeClr w14:val="tx1"/>
            </w14:solidFill>
          </w14:textFill>
        </w:rPr>
        <w:t>4-1、提交首次响应文件截止之日前，采购代理机构对已发出的竞争性磋商文件进行必要的澄清或者修改，澄清或者修改的内容作为竞争性磋商文件的组成部分。澄清或者修改的内容可能影响响应文件编制的，采购代理机构应当在提交首次响应文件截止时间至少5日前，以书面形式通知所有获取竞争性磋商文件的供应商；不足5日的，应当顺延提交首次响应文件截止时间。</w:t>
      </w:r>
    </w:p>
    <w:p w14:paraId="4CA6F75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竞争性磋商文件的澄清或修改内容均以书面形式明确的内容为准。当竞争性磋商文件的澄清、修改、补充等在同一内容的表述上不一致时，以最后发出的书面文件为准。所有补充文件将作为竞争性磋商文件的组成部分，对所有供应商具有约束力。</w:t>
      </w:r>
    </w:p>
    <w:p w14:paraId="768F38B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5、供应商若对竞争性磋商文件有任何疑问，可以以书面形式向采购代理机构提出询问。</w:t>
      </w:r>
    </w:p>
    <w:p w14:paraId="3835072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6、供应商认为竞争性磋商文件使自己的权益受到损害的，在收到竞争性磋商文件之日</w:t>
      </w:r>
      <w:r>
        <w:rPr>
          <w:rFonts w:hint="eastAsia" w:ascii="宋体" w:hAnsi="宋体" w:eastAsia="宋体" w:cs="宋体"/>
          <w:color w:val="000000" w:themeColor="text1"/>
          <w:kern w:val="0"/>
          <w:szCs w:val="24"/>
          <w:highlight w:val="none"/>
          <w14:textFill>
            <w14:solidFill>
              <w14:schemeClr w14:val="tx1"/>
            </w14:solidFill>
          </w14:textFill>
        </w:rPr>
        <w:t>起七个工作日内</w:t>
      </w:r>
      <w:r>
        <w:rPr>
          <w:rFonts w:hint="eastAsia" w:ascii="宋体" w:hAnsi="宋体" w:eastAsia="宋体" w:cs="宋体"/>
          <w:color w:val="000000" w:themeColor="text1"/>
          <w:szCs w:val="24"/>
          <w:highlight w:val="none"/>
          <w14:textFill>
            <w14:solidFill>
              <w14:schemeClr w14:val="tx1"/>
            </w14:solidFill>
          </w14:textFill>
        </w:rPr>
        <w:t>以书面形式向采购代理机构提出质疑，逾期提出的无效，</w:t>
      </w:r>
      <w:bookmarkStart w:id="24" w:name="OLE_LINK6"/>
      <w:r>
        <w:rPr>
          <w:rFonts w:hint="eastAsia" w:ascii="宋体" w:hAnsi="宋体" w:eastAsia="宋体" w:cs="宋体"/>
          <w:color w:val="000000" w:themeColor="text1"/>
          <w:szCs w:val="24"/>
          <w:highlight w:val="none"/>
          <w14:textFill>
            <w14:solidFill>
              <w14:schemeClr w14:val="tx1"/>
            </w14:solidFill>
          </w14:textFill>
        </w:rPr>
        <w:t>因此带来的一切不利后果由供应商自负。</w:t>
      </w:r>
      <w:bookmarkEnd w:id="24"/>
    </w:p>
    <w:p w14:paraId="5F7C540D">
      <w:pPr>
        <w:kinsoku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7、在投标截止时间前，根据采购工作进展实际情况，采购人可酌情延长提交响应文件的截止时间，若延长将另行以书面形式通知各供应商并在原信息发布媒体上发布变更公告。</w:t>
      </w:r>
      <w:bookmarkStart w:id="25" w:name="OLE_LINK7"/>
      <w:r>
        <w:rPr>
          <w:rFonts w:hint="eastAsia" w:ascii="宋体" w:hAnsi="宋体" w:eastAsia="宋体" w:cs="宋体"/>
          <w:color w:val="000000" w:themeColor="text1"/>
          <w:szCs w:val="24"/>
          <w:highlight w:val="none"/>
          <w14:textFill>
            <w14:solidFill>
              <w14:schemeClr w14:val="tx1"/>
            </w14:solidFill>
          </w14:textFill>
        </w:rPr>
        <w:t>采购代理机构和供应商的权利和义务将受到新的截止期的约束。</w:t>
      </w:r>
    </w:p>
    <w:bookmarkEnd w:id="25"/>
    <w:p w14:paraId="26ACC9B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8、供应商必须从【全国公共资源交易平台（陕西省·宝鸡市）】（</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）处获取竞争性磋商文件，供应商自行转让或复制竞争性磋商文件视为无效。竞争性磋商文件售后不退，仅作为本次招标使用。</w:t>
      </w:r>
    </w:p>
    <w:p w14:paraId="3AAF1A6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9、竞争性磋商文件的解释权归采购代理机构，如发现竞争性磋商文件内容与现行法律法规不相符的情况，以现行法律法规为准。</w:t>
      </w:r>
    </w:p>
    <w:p w14:paraId="35CA2E2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10、现场勘查：见须知前附表。</w:t>
      </w:r>
    </w:p>
    <w:p w14:paraId="2DB1123B">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26" w:name="_Toc25197"/>
      <w:r>
        <w:rPr>
          <w:rFonts w:hint="eastAsia" w:ascii="宋体" w:hAnsi="宋体" w:eastAsia="宋体" w:cs="宋体"/>
          <w:color w:val="000000" w:themeColor="text1"/>
          <w:kern w:val="0"/>
          <w:sz w:val="28"/>
          <w:szCs w:val="28"/>
          <w:highlight w:val="none"/>
          <w14:textFill>
            <w14:solidFill>
              <w14:schemeClr w14:val="tx1"/>
            </w14:solidFill>
          </w14:textFill>
        </w:rPr>
        <w:t>四、</w:t>
      </w:r>
      <w:bookmarkEnd w:id="22"/>
      <w:bookmarkEnd w:id="23"/>
      <w:bookmarkEnd w:id="26"/>
      <w:r>
        <w:rPr>
          <w:rFonts w:hint="eastAsia" w:ascii="宋体" w:hAnsi="宋体" w:eastAsia="宋体" w:cs="宋体"/>
          <w:color w:val="000000" w:themeColor="text1"/>
          <w:kern w:val="0"/>
          <w:sz w:val="28"/>
          <w:szCs w:val="28"/>
          <w:highlight w:val="none"/>
          <w14:textFill>
            <w14:solidFill>
              <w14:schemeClr w14:val="tx1"/>
            </w14:solidFill>
          </w14:textFill>
        </w:rPr>
        <w:t>响应文件</w:t>
      </w:r>
    </w:p>
    <w:p w14:paraId="22E890C5">
      <w:pPr>
        <w:pStyle w:val="32"/>
        <w:widowControl/>
        <w:wordWrap w:val="0"/>
        <w:spacing w:line="560" w:lineRule="exact"/>
        <w:ind w:firstLine="480" w:firstLineChars="200"/>
        <w:jc w:val="both"/>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1、供应商资格条件：</w:t>
      </w:r>
    </w:p>
    <w:p w14:paraId="6ADD233A">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1）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45BBBD60">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2）财务状况报告：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0DBB3816">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3）社保缴纳证明：供应商须提供2025年04月至今已缴存的连续六个月的社会保障资金缴存单据或社保机构开具的社会保险参保缴费情况证明，依法不需要缴纳社会保障资金的单位应提供相关证明材料；</w:t>
      </w:r>
    </w:p>
    <w:p w14:paraId="168DB043">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4）税收缴纳证明：供应商须提供2025年04月至今已缴存的连续六个月的纳税证明或完税证明，依法免税的单位应提供相关证明材料；</w:t>
      </w:r>
    </w:p>
    <w:p w14:paraId="5E0A6593">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5）信用记录：供应商未被列入“信用中国”网站重大税收违法失信主体，供应商未被列入“中国执行信息公开网”网站失信被执行人；未被列入“中国政府采购网”政府采购严重违法失信行为信息记录；</w:t>
      </w:r>
    </w:p>
    <w:p w14:paraId="4912BF4D">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6）控股管理关系：单位负责人为同一人或者存在直接控股、管理关系的不同供应商，不得参加同一合同项下的政府采购活动（提供书面承诺）；</w:t>
      </w:r>
    </w:p>
    <w:p w14:paraId="47F1A25C">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7）书面声明：参加政府采购活动前3年内在经营活动中没有重大违法记录的书面声明；</w:t>
      </w:r>
    </w:p>
    <w:p w14:paraId="59AFC28A">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8）法定代表人授权委托书：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7D532D28">
      <w:pPr>
        <w:pStyle w:val="32"/>
        <w:keepNext w:val="0"/>
        <w:keepLines w:val="0"/>
        <w:pageBreakBefore w:val="0"/>
        <w:widowControl/>
        <w:kinsoku/>
        <w:wordWrap w:val="0"/>
        <w:overflowPunct/>
        <w:topLinePunct w:val="0"/>
        <w:autoSpaceDE/>
        <w:autoSpaceDN/>
        <w:bidi w:val="0"/>
        <w:adjustRightInd/>
        <w:snapToGrid/>
        <w:spacing w:line="560" w:lineRule="exact"/>
        <w:ind w:firstLine="480" w:firstLineChars="200"/>
        <w:jc w:val="both"/>
        <w:textAlignment w:val="auto"/>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0E4A416D">
      <w:pPr>
        <w:pStyle w:val="32"/>
        <w:widowControl/>
        <w:wordWrap w:val="0"/>
        <w:spacing w:line="560" w:lineRule="exact"/>
        <w:ind w:firstLine="480" w:firstLineChars="200"/>
        <w:jc w:val="both"/>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SA"/>
        </w:rPr>
        <w:t>10）专门面向中小企业声明函：本项目专门面向中小企业采购，供应商须为中小企业，并提供声明函。</w:t>
      </w:r>
    </w:p>
    <w:p w14:paraId="1A74C97A">
      <w:pPr>
        <w:keepNext w:val="0"/>
        <w:keepLines w:val="0"/>
        <w:pageBreakBefore w:val="0"/>
        <w:kinsoku/>
        <w:overflowPunct/>
        <w:topLinePunct w:val="0"/>
        <w:autoSpaceDE/>
        <w:autoSpaceDN/>
        <w:bidi w:val="0"/>
        <w:adjustRightInd/>
        <w:snapToGrid/>
        <w:spacing w:line="560" w:lineRule="exact"/>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2、合格供应商</w:t>
      </w:r>
    </w:p>
    <w:p w14:paraId="00F7A4E9">
      <w:pPr>
        <w:spacing w:line="560" w:lineRule="exact"/>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符合《中华人民共和国政府采购法》</w:t>
      </w:r>
      <w:bookmarkStart w:id="27" w:name="OLE_LINK8"/>
      <w:r>
        <w:rPr>
          <w:rFonts w:hint="eastAsia" w:ascii="宋体" w:hAnsi="宋体" w:eastAsia="宋体" w:cs="宋体"/>
          <w:color w:val="000000" w:themeColor="text1"/>
          <w:szCs w:val="24"/>
          <w:highlight w:val="none"/>
          <w14:textFill>
            <w14:solidFill>
              <w14:schemeClr w14:val="tx1"/>
            </w14:solidFill>
          </w14:textFill>
        </w:rPr>
        <w:t>及其实施条例等有关法律法规的规定</w:t>
      </w:r>
      <w:bookmarkEnd w:id="27"/>
      <w:r>
        <w:rPr>
          <w:rFonts w:hint="eastAsia" w:ascii="宋体" w:hAnsi="宋体" w:eastAsia="宋体" w:cs="宋体"/>
          <w:color w:val="000000" w:themeColor="text1"/>
          <w:szCs w:val="24"/>
          <w:highlight w:val="none"/>
          <w14:textFill>
            <w14:solidFill>
              <w14:schemeClr w14:val="tx1"/>
            </w14:solidFill>
          </w14:textFill>
        </w:rPr>
        <w:t>并满足本项目资格条件。不符合上述规定的供应商，投标无效。</w:t>
      </w:r>
    </w:p>
    <w:p w14:paraId="40C5F829">
      <w:pPr>
        <w:spacing w:line="560" w:lineRule="exact"/>
        <w:ind w:firstLine="470" w:firstLineChars="196"/>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3、响应文件的组成 </w:t>
      </w:r>
    </w:p>
    <w:p w14:paraId="51D4529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（1）封面</w:t>
      </w:r>
    </w:p>
    <w:p w14:paraId="786FDA5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（2）资格证明文件</w:t>
      </w:r>
    </w:p>
    <w:p w14:paraId="01D5B6C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（3）符合性证明文件</w:t>
      </w:r>
    </w:p>
    <w:p w14:paraId="4EAE393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（4）响应方案</w:t>
      </w:r>
    </w:p>
    <w:p w14:paraId="4D2AD9F1">
      <w:pPr>
        <w:spacing w:line="560" w:lineRule="exact"/>
        <w:ind w:firstLine="720" w:firstLineChars="300"/>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附件一：《中小企业声明函》</w:t>
      </w:r>
    </w:p>
    <w:p w14:paraId="6780E774">
      <w:pPr>
        <w:spacing w:line="560" w:lineRule="exact"/>
        <w:ind w:firstLine="720" w:firstLineChars="300"/>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附件二：《残疾人福利性单位声明函》</w:t>
      </w:r>
    </w:p>
    <w:p w14:paraId="5580A83A">
      <w:pPr>
        <w:spacing w:line="560" w:lineRule="exact"/>
        <w:ind w:firstLine="720" w:firstLineChars="300"/>
        <w:rPr>
          <w:rFonts w:hint="eastAsia"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附件三：《监狱企业证明材料》</w:t>
      </w:r>
    </w:p>
    <w:p w14:paraId="586CA76A">
      <w:pPr>
        <w:spacing w:line="560" w:lineRule="exact"/>
        <w:ind w:firstLine="720" w:firstLineChars="300"/>
        <w:rPr>
          <w:rFonts w:hint="eastAsia"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附件四：《“节能产品”“环境标志产品”说明》</w:t>
      </w:r>
    </w:p>
    <w:p w14:paraId="4056FE09">
      <w:pPr>
        <w:spacing w:line="560" w:lineRule="exact"/>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响应文件编写说明</w:t>
      </w:r>
    </w:p>
    <w:p w14:paraId="6D7919E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4-1、电子响应文件</w:t>
      </w:r>
    </w:p>
    <w:p w14:paraId="4EADDD7B">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编制电子响应文件时应用专用软件，软件下载地址及操作手册详见全国公共资源交易平台（陕西省·宝鸡市）网站〖首页·〉服务指南·〉下载专区〗中的《政府采购项目响应文件制作软件及操作手册》。并使用 CA（数字认证证书）对电子响应文件进行签署、加密、递交及开标时解密等相关操作。</w:t>
      </w:r>
    </w:p>
    <w:p w14:paraId="4DA4D6EF">
      <w:pPr>
        <w:spacing w:line="560" w:lineRule="exact"/>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（2）电子响应文件中需要法定代表人签字或盖章的地方，请使用“法人CA”进行签章；需要加盖供应商公章的地方，请使用“企业 CA”进行盖章。加密和解密应当使用同一CA，否则将会导致解密失败。</w:t>
      </w:r>
    </w:p>
    <w:p w14:paraId="2988D306">
      <w:pPr>
        <w:spacing w:line="560" w:lineRule="exact"/>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注：竞争性磋商响应文件应在竞争性磋商文件要求在规定签字（或盖章）处由法定代表人或其委托代理人签字（或盖章），并逐页加盖申请人公章。由供应商的法定代表人签字或盖章的，应附法定代表人身份证明，由代理人签字或盖章的，应附法定代表人授权委托书。</w:t>
      </w:r>
    </w:p>
    <w:p w14:paraId="3D1B0718">
      <w:pPr>
        <w:spacing w:line="480" w:lineRule="auto"/>
        <w:ind w:firstLine="240" w:firstLine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（3）电子响应文件同样需要使用上述专用软件进行编制。若电子响应文件签章后，导出的 PDF 文件里看不到签章，请尝试使用查看响应文件工具打开未加密的电子响应文件重新导出。在编制过程中，如有其他技术性问题，请翻阅操作手册，或致电宝鸡市公共资源交易中心，信息科人员：0917-3263756 。</w:t>
      </w:r>
    </w:p>
    <w:p w14:paraId="587ABE0A">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4-2、纸质响应文件</w:t>
      </w:r>
    </w:p>
    <w:p w14:paraId="3AAF0A28">
      <w:pPr>
        <w:spacing w:line="48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开标时投标供应商无需提交纸质响应文件，项目成交后由</w:t>
      </w:r>
      <w:r>
        <w:rPr>
          <w:rFonts w:hint="eastAsia" w:ascii="宋体" w:hAnsi="宋体" w:eastAsia="宋体" w:cs="宋体"/>
          <w:color w:val="auto"/>
          <w:szCs w:val="24"/>
          <w:highlight w:val="none"/>
          <w:lang w:val="en-US" w:eastAsia="zh-CN"/>
        </w:rPr>
        <w:t>成交供应商</w:t>
      </w:r>
      <w:r>
        <w:rPr>
          <w:rFonts w:hint="eastAsia" w:ascii="宋体" w:hAnsi="宋体" w:eastAsia="宋体" w:cs="宋体"/>
          <w:color w:val="auto"/>
          <w:szCs w:val="24"/>
          <w:highlight w:val="none"/>
        </w:rPr>
        <w:t>在领取成交通知书时向采购代理机构</w:t>
      </w:r>
      <w:r>
        <w:rPr>
          <w:rFonts w:hint="eastAsia" w:ascii="宋体" w:hAnsi="宋体" w:eastAsia="宋体" w:cs="宋体"/>
          <w:color w:val="auto"/>
          <w:szCs w:val="24"/>
          <w:highlight w:val="none"/>
          <w:lang w:val="en-US" w:eastAsia="zh-CN"/>
        </w:rPr>
        <w:t>提供纸质</w:t>
      </w:r>
      <w:r>
        <w:rPr>
          <w:rFonts w:hint="eastAsia" w:ascii="宋体" w:hAnsi="宋体" w:eastAsia="宋体" w:cs="宋体"/>
          <w:color w:val="auto"/>
          <w:szCs w:val="24"/>
          <w:highlight w:val="none"/>
        </w:rPr>
        <w:t>响应文件正本一份，副本二份，电子文件U盘一份（</w:t>
      </w:r>
      <w:r>
        <w:rPr>
          <w:rFonts w:hint="eastAsia" w:ascii="宋体" w:hAnsi="宋体" w:eastAsia="宋体" w:cs="宋体"/>
          <w:color w:val="auto"/>
          <w:szCs w:val="24"/>
          <w:highlight w:val="none"/>
          <w:lang w:val="en-US" w:eastAsia="zh-CN"/>
        </w:rPr>
        <w:t>内含签章版文件PDF格式及word版</w:t>
      </w:r>
      <w:r>
        <w:rPr>
          <w:rFonts w:hint="eastAsia" w:ascii="宋体" w:hAnsi="宋体" w:eastAsia="宋体" w:cs="宋体"/>
          <w:color w:val="auto"/>
          <w:szCs w:val="24"/>
          <w:highlight w:val="none"/>
        </w:rPr>
        <w:t>）。</w:t>
      </w:r>
      <w:r>
        <w:rPr>
          <w:rFonts w:hint="eastAsia" w:ascii="宋体" w:hAnsi="宋体" w:eastAsia="宋体" w:cs="宋体"/>
          <w:color w:val="auto"/>
          <w:szCs w:val="24"/>
        </w:rPr>
        <w:t>提交的纸质响应文件与网上上传的电子响应文件内容</w:t>
      </w:r>
      <w:r>
        <w:rPr>
          <w:rFonts w:hint="eastAsia" w:ascii="宋体" w:hAnsi="宋体" w:eastAsia="宋体" w:cs="宋体"/>
          <w:color w:val="auto"/>
          <w:szCs w:val="24"/>
          <w:lang w:val="en-US" w:eastAsia="zh-CN"/>
        </w:rPr>
        <w:t>应</w:t>
      </w:r>
      <w:r>
        <w:rPr>
          <w:rFonts w:hint="eastAsia" w:ascii="宋体" w:hAnsi="宋体" w:eastAsia="宋体" w:cs="宋体"/>
          <w:color w:val="auto"/>
          <w:szCs w:val="24"/>
        </w:rPr>
        <w:t>一致，若不一致导致的一切后果由供应商自负。正本和副本的封面上应清楚的标记“正本”或“副本”的字样。响应文件的正本与副本均应采用A4纸</w:t>
      </w:r>
      <w:r>
        <w:rPr>
          <w:rFonts w:hint="eastAsia" w:ascii="宋体" w:hAnsi="宋体" w:eastAsia="宋体" w:cs="宋体"/>
          <w:b/>
          <w:bCs/>
          <w:color w:val="auto"/>
          <w:szCs w:val="24"/>
          <w:lang w:val="en-US" w:eastAsia="zh-CN"/>
        </w:rPr>
        <w:t>双面</w:t>
      </w:r>
      <w:r>
        <w:rPr>
          <w:rFonts w:hint="eastAsia" w:ascii="宋体" w:hAnsi="宋体" w:eastAsia="宋体" w:cs="宋体"/>
          <w:b/>
          <w:bCs/>
          <w:color w:val="auto"/>
          <w:szCs w:val="24"/>
        </w:rPr>
        <w:t>印刷</w:t>
      </w:r>
      <w:r>
        <w:rPr>
          <w:rFonts w:hint="eastAsia" w:ascii="宋体" w:hAnsi="宋体" w:eastAsia="宋体" w:cs="宋体"/>
          <w:b/>
          <w:bCs/>
          <w:color w:val="auto"/>
          <w:szCs w:val="24"/>
          <w:lang w:eastAsia="zh-CN"/>
        </w:rPr>
        <w:t>，</w:t>
      </w:r>
      <w:r>
        <w:rPr>
          <w:rFonts w:hint="eastAsia" w:ascii="宋体" w:hAnsi="宋体" w:eastAsia="宋体" w:cs="宋体"/>
          <w:b/>
          <w:bCs/>
          <w:color w:val="auto"/>
          <w:szCs w:val="24"/>
          <w:highlight w:val="none"/>
          <w:lang w:val="en-US" w:eastAsia="zh-CN"/>
        </w:rPr>
        <w:t>逐页加盖鲜章</w:t>
      </w:r>
      <w:r>
        <w:rPr>
          <w:rFonts w:hint="eastAsia" w:ascii="宋体" w:hAnsi="宋体" w:eastAsia="宋体" w:cs="宋体"/>
          <w:color w:val="auto"/>
          <w:szCs w:val="24"/>
        </w:rPr>
        <w:t>，分别各自胶装成册，</w:t>
      </w:r>
      <w:r>
        <w:rPr>
          <w:rFonts w:hint="eastAsia" w:ascii="宋体" w:hAnsi="宋体" w:eastAsia="宋体" w:cs="宋体"/>
          <w:b/>
          <w:bCs/>
          <w:color w:val="auto"/>
          <w:szCs w:val="24"/>
        </w:rPr>
        <w:t>并编制目录</w:t>
      </w:r>
      <w:r>
        <w:rPr>
          <w:rFonts w:hint="eastAsia" w:ascii="宋体" w:hAnsi="宋体" w:eastAsia="宋体" w:cs="宋体"/>
          <w:b/>
          <w:bCs/>
          <w:color w:val="auto"/>
          <w:szCs w:val="24"/>
          <w:lang w:val="en-US" w:eastAsia="zh-CN"/>
        </w:rPr>
        <w:t>及连续</w:t>
      </w:r>
      <w:r>
        <w:rPr>
          <w:rFonts w:hint="eastAsia" w:ascii="宋体" w:hAnsi="宋体" w:eastAsia="宋体" w:cs="宋体"/>
          <w:b/>
          <w:bCs/>
          <w:color w:val="auto"/>
          <w:szCs w:val="24"/>
        </w:rPr>
        <w:t>页码。</w:t>
      </w:r>
      <w:r>
        <w:rPr>
          <w:rFonts w:hint="eastAsia" w:ascii="宋体" w:hAnsi="宋体" w:eastAsia="宋体" w:cs="宋体"/>
          <w:color w:val="000000" w:themeColor="text1"/>
          <w:szCs w:val="24"/>
          <w14:textFill>
            <w14:solidFill>
              <w14:schemeClr w14:val="tx1"/>
            </w14:solidFill>
          </w14:textFill>
        </w:rPr>
        <w:t>不得采用活页装订。</w:t>
      </w:r>
    </w:p>
    <w:p w14:paraId="5BCD8D39">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4-3、响应文件的语言及计量单位</w:t>
      </w:r>
    </w:p>
    <w:p w14:paraId="22B0CBD6">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1、招标活动的所有文件、资料、函电文字均使用简体中文，确需提交用其他语言形成的资料，必须翻译成简体中文。对不同文字文本响应文件的解释发生异议时，以简体中文文本为准。</w:t>
      </w:r>
    </w:p>
    <w:p w14:paraId="66C6CCE3">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2、响应文件的计量单位应使用中华人民共和国法定计量单位，但竞争性磋商文件另有规定的除外。</w:t>
      </w:r>
    </w:p>
    <w:p w14:paraId="553A7DAB">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4-4、响应文件的有效期</w:t>
      </w:r>
    </w:p>
    <w:p w14:paraId="016357E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1.投标有效期（含授权有效期）自提交响应文件截止之日起90日历天。供应商投标有效期短于竞争性磋商文件规定的投标有效期，按无效投标处理。成交供应商的投标有效期自动延长至合同执行完毕。</w:t>
      </w:r>
    </w:p>
    <w:p w14:paraId="15CC5E5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2.在投标有效期内，供应商不得要求撤销或修改其响应文件。</w:t>
      </w:r>
    </w:p>
    <w:p w14:paraId="4070507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特殊情况下，在原投标有效期期满之前，采购人可要求供应商延长投标有效期。供应商拒绝延长的，其投标失效，但供应商有权收回其磋商保证金。供应商同意延长的，应相应延长其磋商保证金的有效期，但不得修改响应文件的实质性内容。</w:t>
      </w:r>
    </w:p>
    <w:p w14:paraId="63A12D7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4-5、响应文件的提交</w:t>
      </w:r>
    </w:p>
    <w:p w14:paraId="6DA6AA5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子响应文件可于提交响应文件递交截止时间前任意时段登录全国公共资源交易平台（陕西省·宝鸡市）网站“电子交易平台&gt;企业端”进行提交，逾期系统将拒绝接收。提交时，供应商应登录全国公共资源交易中心平台（陕西省·宝鸡市），选择“首页&gt;电子交易平台&gt;企业端&gt;我的项目”，点击“项目流程”，在打开的“项目管理”对话框中选择“上传响应文件”，上传加密的电子响应文件。上传成功后，电子化平台将予以记录。</w:t>
      </w:r>
    </w:p>
    <w:p w14:paraId="3DA71CA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4-6、响应文件的撤回、补充和修改</w:t>
      </w:r>
    </w:p>
    <w:p w14:paraId="24823B1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供应商在递交响应文件后，且在提交响应文件截止时间前，可以对所提交的响应文件进行撤回、补充或修改。对电子响应文件进行补充、修改的，应先从电子交易平台上撤回旧版，再重新提交新版。</w:t>
      </w:r>
    </w:p>
    <w:p w14:paraId="53C1A56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4-7、关于响应文件的雷同性分析</w:t>
      </w:r>
    </w:p>
    <w:p w14:paraId="1A14E0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根据陕西省公共资源交易中心《关于在政府采购交易系统中开通标书雷同性分析功能的通知》，在符合性审查环节，将由评标委员会（磋商小组/</w:t>
      </w:r>
      <w:r>
        <w:rPr>
          <w:rFonts w:hint="eastAsia" w:ascii="宋体" w:hAnsi="宋体" w:eastAsia="宋体" w:cs="宋体"/>
          <w:color w:val="000000" w:themeColor="text1"/>
          <w:szCs w:val="24"/>
          <w:highlight w:val="none"/>
          <w:lang w:eastAsia="zh-CN"/>
          <w14:textFill>
            <w14:solidFill>
              <w14:schemeClr w14:val="tx1"/>
            </w14:solidFill>
          </w14:textFill>
        </w:rPr>
        <w:t>磋商</w:t>
      </w:r>
      <w:r>
        <w:rPr>
          <w:rFonts w:hint="eastAsia" w:ascii="宋体" w:hAnsi="宋体" w:eastAsia="宋体" w:cs="宋体"/>
          <w:color w:val="000000" w:themeColor="text1"/>
          <w:szCs w:val="24"/>
          <w:highlight w:val="none"/>
          <w14:textFill>
            <w14:solidFill>
              <w14:schemeClr w14:val="tx1"/>
            </w14:solidFill>
          </w14:textFill>
        </w:rPr>
        <w:t>小组/询价小组）在评标系统中对供应商的电子响应文件进行雷同性分析。雷同性分析由两项指标组成，分别是“文件制作机器码”和“文件创建标识码”。其中，前者通过验证电子响应文件制作设备的特征信息（如MAC 地址、硬盘序列号、CPU 编号、主板号等），判断电子响应文件是否出自同一台设备。若“文件制作机器码”一致，则表明不同投标供应商的电子响应文件出自同一台制作设备，根据《陕西省财政厅关于政府采购有关政策的复函》（陕财办采函〔2019〕18 号），该情形可以视为投标供应商串通投标，其投标无效。若“文件创建标识码”一致，则表示不同投标供应商使用响应文件制作软件时，使用同一源工程文件，该情形建议由评标委员会（磋商小组/</w:t>
      </w:r>
      <w:r>
        <w:rPr>
          <w:rFonts w:hint="eastAsia" w:ascii="宋体" w:hAnsi="宋体" w:eastAsia="宋体" w:cs="宋体"/>
          <w:color w:val="000000" w:themeColor="text1"/>
          <w:szCs w:val="24"/>
          <w:highlight w:val="none"/>
          <w:lang w:eastAsia="zh-CN"/>
          <w14:textFill>
            <w14:solidFill>
              <w14:schemeClr w14:val="tx1"/>
            </w14:solidFill>
          </w14:textFill>
        </w:rPr>
        <w:t>磋商</w:t>
      </w:r>
      <w:r>
        <w:rPr>
          <w:rFonts w:hint="eastAsia" w:ascii="宋体" w:hAnsi="宋体" w:eastAsia="宋体" w:cs="宋体"/>
          <w:color w:val="000000" w:themeColor="text1"/>
          <w:szCs w:val="24"/>
          <w:highlight w:val="none"/>
          <w14:textFill>
            <w14:solidFill>
              <w14:schemeClr w14:val="tx1"/>
            </w14:solidFill>
          </w14:textFill>
        </w:rPr>
        <w:t>小组/询价小组）结合项目情况综合判定。”</w:t>
      </w:r>
    </w:p>
    <w:p w14:paraId="65BB09D8">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4-8、磋商报价</w:t>
      </w:r>
    </w:p>
    <w:p w14:paraId="04003D0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1）本次招标项目最高限价为</w:t>
      </w:r>
      <w:r>
        <w:rPr>
          <w:rFonts w:hint="eastAsia" w:ascii="宋体" w:hAnsi="宋体" w:eastAsia="宋体" w:cs="宋体"/>
          <w:color w:val="000000" w:themeColor="text1"/>
          <w:szCs w:val="24"/>
          <w:highlight w:val="none"/>
          <w:shd w:val="clear"/>
          <w14:textFill>
            <w14:solidFill>
              <w14:schemeClr w14:val="tx1"/>
            </w14:solidFill>
          </w14:textFill>
        </w:rPr>
        <w:t>：</w:t>
      </w:r>
      <w:r>
        <w:rPr>
          <w:rFonts w:hint="eastAsia" w:ascii="宋体" w:hAnsi="宋体" w:eastAsia="宋体" w:cs="宋体"/>
          <w:color w:val="auto"/>
          <w:szCs w:val="24"/>
          <w:highlight w:val="none"/>
          <w:shd w:val="clear"/>
          <w:lang w:val="en-US" w:eastAsia="zh-CN"/>
        </w:rPr>
        <w:t>730000.00</w:t>
      </w:r>
      <w:r>
        <w:rPr>
          <w:rFonts w:hint="eastAsia" w:ascii="宋体" w:hAnsi="宋体" w:eastAsia="宋体" w:cs="宋体"/>
          <w:color w:val="000000" w:themeColor="text1"/>
          <w:szCs w:val="24"/>
          <w:highlight w:val="none"/>
          <w:shd w:val="clear"/>
          <w14:textFill>
            <w14:solidFill>
              <w14:schemeClr w14:val="tx1"/>
            </w14:solidFill>
          </w14:textFill>
        </w:rPr>
        <w:t>元</w:t>
      </w:r>
      <w:r>
        <w:rPr>
          <w:rFonts w:hint="eastAsia" w:ascii="宋体" w:hAnsi="宋体" w:eastAsia="宋体" w:cs="宋体"/>
          <w:color w:val="000000" w:themeColor="text1"/>
          <w:szCs w:val="24"/>
          <w:highlight w:val="none"/>
          <w14:textFill>
            <w14:solidFill>
              <w14:schemeClr w14:val="tx1"/>
            </w14:solidFill>
          </w14:textFill>
        </w:rPr>
        <w:t>，超出项目最</w:t>
      </w:r>
      <w:r>
        <w:rPr>
          <w:rFonts w:hint="eastAsia" w:ascii="宋体" w:hAnsi="宋体" w:eastAsia="宋体" w:cs="宋体"/>
          <w:color w:val="000000" w:themeColor="text1"/>
          <w:szCs w:val="24"/>
          <w14:textFill>
            <w14:solidFill>
              <w14:schemeClr w14:val="tx1"/>
            </w14:solidFill>
          </w14:textFill>
        </w:rPr>
        <w:t>高限价为无效报价，按废标处理。</w:t>
      </w:r>
    </w:p>
    <w:p w14:paraId="0BB99E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2）磋商报价中均采用人民币表示，磋商报价为供应商在响应文件中提出的各项费用的总和。除非采购人对竞争性磋商文件予以修改，供应商应按采购人提供的</w:t>
      </w:r>
      <w:r>
        <w:rPr>
          <w:rFonts w:hint="eastAsia" w:ascii="宋体" w:hAnsi="宋体" w:eastAsia="宋体" w:cs="宋体"/>
          <w:color w:val="000000" w:themeColor="text1"/>
          <w:szCs w:val="24"/>
          <w:highlight w:val="none"/>
          <w:lang w:val="en-US" w:eastAsia="zh-CN"/>
          <w14:textFill>
            <w14:solidFill>
              <w14:schemeClr w14:val="tx1"/>
            </w14:solidFill>
          </w14:textFill>
        </w:rPr>
        <w:t>采购内容</w:t>
      </w:r>
      <w:r>
        <w:rPr>
          <w:rFonts w:hint="eastAsia" w:ascii="宋体" w:hAnsi="宋体" w:eastAsia="宋体" w:cs="宋体"/>
          <w:color w:val="000000" w:themeColor="text1"/>
          <w:szCs w:val="24"/>
          <w:highlight w:val="none"/>
          <w14:textFill>
            <w14:solidFill>
              <w14:schemeClr w14:val="tx1"/>
            </w14:solidFill>
          </w14:textFill>
        </w:rPr>
        <w:t>清单填报单价和合价，每一项目只允许有一个报价。任何有选择的报价将不予接受。供应商未填单价或合价的项目，将视为该项费用已包括在其他有价款的单价或合价内，采购人将不予支付其价款。</w:t>
      </w:r>
    </w:p>
    <w:p w14:paraId="292014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r>
        <w:rPr>
          <w:rFonts w:hint="eastAsia" w:ascii="宋体" w:hAnsi="宋体" w:eastAsia="宋体" w:cs="宋体"/>
          <w:color w:val="000000" w:themeColor="text1"/>
          <w:szCs w:val="24"/>
          <w:highlight w:val="none"/>
          <w14:textFill>
            <w14:solidFill>
              <w14:schemeClr w14:val="tx1"/>
            </w14:solidFill>
          </w14:textFill>
        </w:rPr>
        <w:t>供应商必须全面考虑各影响报价因素，认真计算可能发生的各相关费用（包含完成本项目的人力成本、设备成本、管理费、利润、税金等费用）并计入磋商报价内，在项目实施过程中甲方不再另付任何费用。</w:t>
      </w:r>
    </w:p>
    <w:p w14:paraId="49ECEE8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供应商报价时可能涉及的因素：</w:t>
      </w:r>
    </w:p>
    <w:p w14:paraId="0214F4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①</w:t>
      </w:r>
      <w:r>
        <w:rPr>
          <w:rFonts w:hint="eastAsia" w:ascii="宋体" w:hAnsi="宋体" w:eastAsia="宋体" w:cs="宋体"/>
          <w:color w:val="000000" w:themeColor="text1"/>
          <w:szCs w:val="24"/>
          <w:highlight w:val="none"/>
          <w14:textFill>
            <w14:solidFill>
              <w14:schemeClr w14:val="tx1"/>
            </w14:solidFill>
          </w14:textFill>
        </w:rPr>
        <w:t>供应商应事先考虑好人工、场地等费用可能的波动变化。</w:t>
      </w:r>
    </w:p>
    <w:p w14:paraId="38FFFA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②</w:t>
      </w:r>
      <w:r>
        <w:rPr>
          <w:rFonts w:hint="eastAsia" w:ascii="宋体" w:hAnsi="宋体" w:eastAsia="宋体" w:cs="宋体"/>
          <w:color w:val="000000" w:themeColor="text1"/>
          <w:szCs w:val="24"/>
          <w:highlight w:val="none"/>
          <w14:textFill>
            <w14:solidFill>
              <w14:schemeClr w14:val="tx1"/>
            </w14:solidFill>
          </w14:textFill>
        </w:rPr>
        <w:t>供应商须自行踏勘现场以充分了解项目实施的内容及可能产生的费用。</w:t>
      </w:r>
    </w:p>
    <w:p w14:paraId="348783D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③</w:t>
      </w:r>
      <w:r>
        <w:rPr>
          <w:rFonts w:hint="eastAsia" w:ascii="宋体" w:hAnsi="宋体" w:eastAsia="宋体" w:cs="宋体"/>
          <w:color w:val="000000" w:themeColor="text1"/>
          <w:szCs w:val="24"/>
          <w:highlight w:val="none"/>
          <w14:textFill>
            <w14:solidFill>
              <w14:schemeClr w14:val="tx1"/>
            </w14:solidFill>
          </w14:textFill>
        </w:rPr>
        <w:t>如未成交，无任何补偿费用。</w:t>
      </w:r>
    </w:p>
    <w:p w14:paraId="4A57B8B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④</w:t>
      </w:r>
      <w:r>
        <w:rPr>
          <w:rFonts w:hint="eastAsia" w:ascii="宋体" w:hAnsi="宋体" w:eastAsia="宋体" w:cs="宋体"/>
          <w:color w:val="000000" w:themeColor="text1"/>
          <w:szCs w:val="24"/>
          <w:highlight w:val="none"/>
          <w14:textFill>
            <w14:solidFill>
              <w14:schemeClr w14:val="tx1"/>
            </w14:solidFill>
          </w14:textFill>
        </w:rPr>
        <w:t>供应商应负责办理为执行本磋商文件规定义务而投入的工伤事故的保险、机具设备和运输工具的财产保险、人身意外伤害险等，保险费由供应商自行支付，并已包含在磋商报价中，采购人将不再另行支付。</w:t>
      </w:r>
    </w:p>
    <w:p w14:paraId="31308A9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供应商须对《采购内容及要求》中的全部费用明细按要求进行完整报价，采购代理机构拒绝只对部分费用明细进行报价的磋商。供应商应在竞争性磋商响应文件中的分项报价表（如有）上标明对本次采购拟提供项目的单价和总价。任何有选择的报价将不予接受，工程、货物或服务只允许有一个报价。</w:t>
      </w:r>
    </w:p>
    <w:p w14:paraId="20BCA51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磋商小组认为供应商的报价明显低于其他通过符合性审查供应商的报价，有可能影响质量或者不能诚信履约的，应当要求其在评标现场合理的时间内提供书面说明，必要时提交相关证明材料；供应商不能证明其报价合理性的，磋商小组应当将其作为无效投标处理。</w:t>
      </w:r>
    </w:p>
    <w:p w14:paraId="49809D7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14:textFill>
            <w14:solidFill>
              <w14:schemeClr w14:val="tx1"/>
            </w14:solidFill>
          </w14:textFill>
        </w:rPr>
        <w:t>结算调整幅度：本项目采用竞争性磋商方式采购，需进行二次报价，结算时分项单价将按最终报价与首次报价的差距同比例调整，单价浮动后质量等级不得变更。</w:t>
      </w:r>
    </w:p>
    <w:p w14:paraId="5E264A13">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=本项目实施过程中的所有费用。最终报价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不得高于首次报价，否则按废标处理</w:t>
      </w:r>
      <w:r>
        <w:rPr>
          <w:rFonts w:hint="eastAsia" w:ascii="宋体" w:hAnsi="宋体" w:eastAsia="宋体" w:cs="宋体"/>
          <w:b/>
          <w:bCs/>
          <w:color w:val="000000" w:themeColor="text1"/>
          <w:szCs w:val="24"/>
          <w:lang w:eastAsia="zh-CN"/>
          <w14:textFill>
            <w14:solidFill>
              <w14:schemeClr w14:val="tx1"/>
            </w14:solidFill>
          </w14:textFill>
        </w:rPr>
        <w:t>。</w:t>
      </w:r>
    </w:p>
    <w:p w14:paraId="38FB604F">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本次竞争性磋商非一次性报价。</w:t>
      </w:r>
    </w:p>
    <w:p w14:paraId="0E7EA88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4-9、供应商提交响应文件时，出现下列情况之一的，其响应文件将被拒绝接收：</w:t>
      </w:r>
    </w:p>
    <w:p w14:paraId="2B78BDE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28" w:name="_Toc458617735"/>
      <w:bookmarkStart w:id="29" w:name="_Toc30052"/>
      <w:bookmarkStart w:id="30" w:name="_Toc458617458"/>
      <w:r>
        <w:rPr>
          <w:rFonts w:hint="eastAsia" w:ascii="宋体" w:hAnsi="宋体" w:eastAsia="宋体" w:cs="宋体"/>
          <w:color w:val="000000" w:themeColor="text1"/>
          <w:szCs w:val="24"/>
          <w:highlight w:val="none"/>
          <w14:textFill>
            <w14:solidFill>
              <w14:schemeClr w14:val="tx1"/>
            </w14:solidFill>
          </w14:textFill>
        </w:rPr>
        <w:t>1、误投的；</w:t>
      </w:r>
    </w:p>
    <w:p w14:paraId="7E6121F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2、逾期提交电子响应文件的；</w:t>
      </w:r>
    </w:p>
    <w:p w14:paraId="6097A5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3、未在磋商文件规定时间签到的。</w:t>
      </w:r>
    </w:p>
    <w:p w14:paraId="792B8E5A">
      <w:pPr>
        <w:spacing w:line="56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五、</w:t>
      </w:r>
      <w:bookmarkEnd w:id="28"/>
      <w:bookmarkEnd w:id="29"/>
      <w:bookmarkEnd w:id="30"/>
      <w:r>
        <w:rPr>
          <w:rFonts w:hint="eastAsia" w:ascii="宋体" w:hAnsi="宋体" w:eastAsia="宋体" w:cs="宋体"/>
          <w:color w:val="000000" w:themeColor="text1"/>
          <w:szCs w:val="24"/>
          <w:highlight w:val="none"/>
          <w14:textFill>
            <w14:solidFill>
              <w14:schemeClr w14:val="tx1"/>
            </w14:solidFill>
          </w14:textFill>
        </w:rPr>
        <w:t>磋商保证金</w:t>
      </w:r>
    </w:p>
    <w:p w14:paraId="1FAA577B">
      <w:pPr>
        <w:tabs>
          <w:tab w:val="left" w:pos="7013"/>
        </w:tabs>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1、保证金缴纳形式：见供应商须知前附表。</w:t>
      </w:r>
      <w:r>
        <w:rPr>
          <w:rFonts w:hint="eastAsia" w:ascii="宋体" w:hAnsi="宋体" w:eastAsia="宋体" w:cs="宋体"/>
          <w:color w:val="000000" w:themeColor="text1"/>
          <w:szCs w:val="24"/>
          <w:highlight w:val="none"/>
          <w14:textFill>
            <w14:solidFill>
              <w14:schemeClr w14:val="tx1"/>
            </w14:solidFill>
          </w14:textFill>
        </w:rPr>
        <w:tab/>
      </w:r>
    </w:p>
    <w:p w14:paraId="21A11E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2、保证金缴纳递交截止时间：见供应商须知前附表。</w:t>
      </w:r>
    </w:p>
    <w:p w14:paraId="31CEDDA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3、退还磋商保证金：</w:t>
      </w:r>
    </w:p>
    <w:p w14:paraId="7276C459">
      <w:pPr>
        <w:spacing w:line="560" w:lineRule="exact"/>
        <w:ind w:firstLine="482" w:firstLineChars="200"/>
        <w:rPr>
          <w:rFonts w:ascii="宋体" w:hAnsi="宋体" w:eastAsia="宋体" w:cs="宋体"/>
          <w:b/>
          <w:bCs/>
          <w:color w:val="000000" w:themeColor="text1"/>
          <w:szCs w:val="24"/>
          <w:highlight w:val="none"/>
          <w:u w:val="singl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3-1、</w:t>
      </w:r>
      <w:r>
        <w:rPr>
          <w:rFonts w:hint="eastAsia" w:ascii="宋体" w:hAnsi="宋体" w:eastAsia="宋体" w:cs="宋体"/>
          <w:b/>
          <w:bCs/>
          <w:color w:val="000000" w:themeColor="text1"/>
          <w:szCs w:val="24"/>
          <w:highlight w:val="none"/>
          <w:u w:val="single"/>
          <w14:textFill>
            <w14:solidFill>
              <w14:schemeClr w14:val="tx1"/>
            </w14:solidFill>
          </w14:textFill>
        </w:rPr>
        <w:t>在投标截止时间前撤回已提交响应文件的供应商的磋商保证金，将在采购代理机构收到供应商书面撤回通知之日起5个工作日内退还（无息）。</w:t>
      </w:r>
    </w:p>
    <w:p w14:paraId="677ADB17">
      <w:pPr>
        <w:spacing w:line="560" w:lineRule="exact"/>
        <w:ind w:firstLine="482" w:firstLineChars="200"/>
        <w:rPr>
          <w:rFonts w:ascii="宋体" w:hAnsi="宋体" w:eastAsia="宋体" w:cs="宋体"/>
          <w:b/>
          <w:color w:val="000000" w:themeColor="text1"/>
          <w:szCs w:val="24"/>
          <w:highlight w:val="none"/>
          <w:u w:val="singl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3-2、</w:t>
      </w:r>
      <w:r>
        <w:rPr>
          <w:rFonts w:hint="eastAsia" w:ascii="宋体" w:hAnsi="宋体" w:eastAsia="宋体" w:cs="宋体"/>
          <w:b/>
          <w:color w:val="000000" w:themeColor="text1"/>
          <w:spacing w:val="-14"/>
          <w:szCs w:val="24"/>
          <w:highlight w:val="none"/>
          <w:u w:val="single"/>
          <w14:textFill>
            <w14:solidFill>
              <w14:schemeClr w14:val="tx1"/>
            </w14:solidFill>
          </w14:textFill>
        </w:rPr>
        <w:t>所</w:t>
      </w:r>
      <w:r>
        <w:rPr>
          <w:rFonts w:hint="eastAsia" w:ascii="宋体" w:hAnsi="宋体" w:eastAsia="宋体" w:cs="宋体"/>
          <w:b/>
          <w:color w:val="000000" w:themeColor="text1"/>
          <w:szCs w:val="24"/>
          <w:highlight w:val="none"/>
          <w:u w:val="single"/>
          <w14:textFill>
            <w14:solidFill>
              <w14:schemeClr w14:val="tx1"/>
            </w14:solidFill>
          </w14:textFill>
        </w:rPr>
        <w:t>有未中标人的磋商保证金，将在成交通知书发出后5个工作日内退还（无息）。</w:t>
      </w:r>
    </w:p>
    <w:p w14:paraId="2C5EE445">
      <w:pPr>
        <w:spacing w:line="560" w:lineRule="exact"/>
        <w:ind w:firstLine="482" w:firstLineChars="200"/>
        <w:rPr>
          <w:rFonts w:ascii="宋体" w:hAnsi="宋体" w:eastAsia="宋体" w:cs="宋体"/>
          <w:b/>
          <w:bCs/>
          <w:color w:val="000000" w:themeColor="text1"/>
          <w:szCs w:val="24"/>
          <w:highlight w:val="none"/>
          <w:u w:val="singl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3-3、</w:t>
      </w:r>
      <w:r>
        <w:rPr>
          <w:rFonts w:hint="eastAsia" w:ascii="宋体" w:hAnsi="宋体" w:eastAsia="宋体" w:cs="宋体"/>
          <w:b/>
          <w:bCs/>
          <w:color w:val="000000" w:themeColor="text1"/>
          <w:szCs w:val="24"/>
          <w:highlight w:val="none"/>
          <w:u w:val="single"/>
          <w14:textFill>
            <w14:solidFill>
              <w14:schemeClr w14:val="tx1"/>
            </w14:solidFill>
          </w14:textFill>
        </w:rPr>
        <w:t>中标人的磋商保证金，将在签订合同后</w:t>
      </w:r>
      <w:r>
        <w:rPr>
          <w:rFonts w:hint="eastAsia" w:ascii="宋体" w:hAnsi="宋体" w:eastAsia="宋体" w:cs="宋体"/>
          <w:b/>
          <w:color w:val="000000" w:themeColor="text1"/>
          <w:szCs w:val="24"/>
          <w:highlight w:val="none"/>
          <w:u w:val="single"/>
          <w14:textFill>
            <w14:solidFill>
              <w14:schemeClr w14:val="tx1"/>
            </w14:solidFill>
          </w14:textFill>
        </w:rPr>
        <w:t>5个工作日内</w:t>
      </w:r>
      <w:r>
        <w:rPr>
          <w:rFonts w:hint="eastAsia" w:ascii="宋体" w:hAnsi="宋体" w:eastAsia="宋体" w:cs="宋体"/>
          <w:b/>
          <w:bCs/>
          <w:color w:val="000000" w:themeColor="text1"/>
          <w:szCs w:val="24"/>
          <w:highlight w:val="none"/>
          <w:u w:val="single"/>
          <w14:textFill>
            <w14:solidFill>
              <w14:schemeClr w14:val="tx1"/>
            </w14:solidFill>
          </w14:textFill>
        </w:rPr>
        <w:t>执合同予以退还（无息）。</w:t>
      </w:r>
    </w:p>
    <w:p w14:paraId="20AA0AC9">
      <w:pPr>
        <w:tabs>
          <w:tab w:val="left" w:pos="2700"/>
        </w:tabs>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4、发生下列情况之一时，磋商保证金将不予退还：</w:t>
      </w:r>
    </w:p>
    <w:p w14:paraId="4552341C">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w:t>
      </w:r>
      <w:r>
        <w:rPr>
          <w:rFonts w:hint="eastAsia" w:ascii="宋体" w:hAnsi="宋体" w:eastAsia="宋体" w:cs="宋体"/>
          <w:color w:val="000000" w:themeColor="text1"/>
          <w:szCs w:val="24"/>
          <w:highlight w:val="none"/>
          <w:u w:val="single"/>
          <w14:textFill>
            <w14:solidFill>
              <w14:schemeClr w14:val="tx1"/>
            </w14:solidFill>
          </w14:textFill>
        </w:rPr>
        <w:t>供应商提供虚假资质谋取中标的；</w:t>
      </w:r>
    </w:p>
    <w:p w14:paraId="29345558">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w:t>
      </w:r>
      <w:r>
        <w:rPr>
          <w:rFonts w:hint="eastAsia" w:ascii="宋体" w:hAnsi="宋体" w:eastAsia="宋体" w:cs="宋体"/>
          <w:color w:val="000000" w:themeColor="text1"/>
          <w:szCs w:val="24"/>
          <w:highlight w:val="none"/>
          <w:u w:val="single"/>
          <w14:textFill>
            <w14:solidFill>
              <w14:schemeClr w14:val="tx1"/>
            </w14:solidFill>
          </w14:textFill>
        </w:rPr>
        <w:t>有围标、串标现象，经查证属实的；</w:t>
      </w:r>
    </w:p>
    <w:p w14:paraId="38B797DC">
      <w:pPr>
        <w:spacing w:line="560" w:lineRule="exact"/>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w:t>
      </w:r>
      <w:r>
        <w:rPr>
          <w:rFonts w:hint="eastAsia" w:ascii="宋体" w:hAnsi="宋体" w:eastAsia="宋体" w:cs="宋体"/>
          <w:color w:val="000000" w:themeColor="text1"/>
          <w:szCs w:val="24"/>
          <w:highlight w:val="none"/>
          <w:u w:val="single"/>
          <w14:textFill>
            <w14:solidFill>
              <w14:schemeClr w14:val="tx1"/>
            </w14:solidFill>
          </w14:textFill>
        </w:rPr>
        <w:t>供应商在竞争性磋商文件规定的投标有效期内撤回投标的；</w:t>
      </w:r>
    </w:p>
    <w:p w14:paraId="5EBA21EA">
      <w:pPr>
        <w:spacing w:line="560" w:lineRule="exact"/>
        <w:ind w:left="720" w:leftChars="200" w:hanging="240" w:hangingChars="1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w:t>
      </w:r>
      <w:r>
        <w:rPr>
          <w:rFonts w:hint="eastAsia" w:ascii="宋体" w:hAnsi="宋体" w:eastAsia="宋体" w:cs="宋体"/>
          <w:color w:val="000000" w:themeColor="text1"/>
          <w:szCs w:val="24"/>
          <w:highlight w:val="none"/>
          <w:u w:val="single"/>
          <w14:textFill>
            <w14:solidFill>
              <w14:schemeClr w14:val="tx1"/>
            </w14:solidFill>
          </w14:textFill>
        </w:rPr>
        <w:t>供应商自行放弃成交资格的；</w:t>
      </w:r>
    </w:p>
    <w:p w14:paraId="650105F9">
      <w:pPr>
        <w:spacing w:line="560" w:lineRule="exact"/>
        <w:ind w:left="720" w:leftChars="200" w:hanging="240" w:hangingChars="1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w:t>
      </w:r>
      <w:r>
        <w:rPr>
          <w:rFonts w:hint="eastAsia" w:ascii="宋体" w:hAnsi="宋体" w:eastAsia="宋体" w:cs="宋体"/>
          <w:color w:val="000000" w:themeColor="text1"/>
          <w:szCs w:val="24"/>
          <w:highlight w:val="none"/>
          <w:u w:val="single"/>
          <w14:textFill>
            <w14:solidFill>
              <w14:schemeClr w14:val="tx1"/>
            </w14:solidFill>
          </w14:textFill>
        </w:rPr>
        <w:t>成交人不在规定的时效内领取《成交通知书》的；</w:t>
      </w:r>
    </w:p>
    <w:p w14:paraId="628ACECE">
      <w:pPr>
        <w:spacing w:line="560" w:lineRule="exact"/>
        <w:ind w:left="720" w:leftChars="200" w:hanging="240" w:hangingChars="1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成交人因自身原因未能在规定期限内与采购人签订合同的；</w:t>
      </w:r>
    </w:p>
    <w:p w14:paraId="6A28224C">
      <w:pPr>
        <w:spacing w:line="560" w:lineRule="exact"/>
        <w:ind w:left="720" w:leftChars="200" w:hanging="240" w:hangingChars="1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供应商交纳磋商保证金后，无故不参加投标活动的。</w:t>
      </w:r>
    </w:p>
    <w:p w14:paraId="306B24B2">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31" w:name="_Toc458617459"/>
      <w:bookmarkStart w:id="32" w:name="_Toc12278"/>
      <w:bookmarkStart w:id="33" w:name="_Toc458617736"/>
      <w:r>
        <w:rPr>
          <w:rFonts w:hint="eastAsia" w:ascii="宋体" w:hAnsi="宋体" w:eastAsia="宋体" w:cs="宋体"/>
          <w:color w:val="000000" w:themeColor="text1"/>
          <w:kern w:val="0"/>
          <w:sz w:val="28"/>
          <w:szCs w:val="28"/>
          <w:highlight w:val="none"/>
          <w14:textFill>
            <w14:solidFill>
              <w14:schemeClr w14:val="tx1"/>
            </w14:solidFill>
          </w14:textFill>
        </w:rPr>
        <w:t>六、投标</w:t>
      </w:r>
      <w:bookmarkEnd w:id="31"/>
      <w:bookmarkEnd w:id="32"/>
      <w:bookmarkEnd w:id="33"/>
    </w:p>
    <w:p w14:paraId="5249BB2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34" w:name="_Toc29578"/>
      <w:bookmarkStart w:id="35" w:name="_Toc458617737"/>
      <w:bookmarkStart w:id="36" w:name="_Toc458617460"/>
      <w:r>
        <w:rPr>
          <w:rFonts w:hint="eastAsia" w:ascii="宋体" w:hAnsi="宋体" w:eastAsia="宋体" w:cs="宋体"/>
          <w:color w:val="000000" w:themeColor="text1"/>
          <w:szCs w:val="24"/>
          <w:highlight w:val="none"/>
          <w14:textFill>
            <w14:solidFill>
              <w14:schemeClr w14:val="tx1"/>
            </w14:solidFill>
          </w14:textFill>
        </w:rPr>
        <w:t>供应商应在供应商须知前附表规定的投标截止时间前，通过互联网使用CA 数字证书登录全国公共资源交易平台（陕西省宝鸡市）宝鸡市公共资源交易中心（</w:t>
      </w:r>
      <w:r>
        <w:rPr>
          <w:rFonts w:hint="eastAsia" w:ascii="宋体" w:hAnsi="宋体" w:eastAsia="宋体" w:cs="宋体"/>
          <w:color w:val="000000" w:themeColor="text1"/>
          <w:szCs w:val="24"/>
          <w:highlight w:val="none"/>
          <w:lang w:eastAsia="zh-CN"/>
          <w14:textFill>
            <w14:solidFill>
              <w14:schemeClr w14:val="tx1"/>
            </w14:solidFill>
          </w14:textFill>
        </w:rPr>
        <w:t>http://ggzy.baoji.gov.cn/</w:t>
      </w:r>
      <w:r>
        <w:rPr>
          <w:rFonts w:hint="eastAsia" w:ascii="宋体" w:hAnsi="宋体" w:eastAsia="宋体" w:cs="宋体"/>
          <w:color w:val="000000" w:themeColor="text1"/>
          <w:szCs w:val="24"/>
          <w:highlight w:val="none"/>
          <w14:textFill>
            <w14:solidFill>
              <w14:schemeClr w14:val="tx1"/>
            </w14:solidFill>
          </w14:textFill>
        </w:rPr>
        <w:t xml:space="preserve">）“电子交易平台”，将加密的响应文件上传，并保存上传成功后系统自动生成的电子签收凭证，递交时间即为电子签收凭证时间。供应商应充分考虑上传文件时的不可预见因素，未在投标截止时间前完成上传的，视为逾期送达，采购人（“电子交易平台”）将拒绝接收。 </w:t>
      </w:r>
    </w:p>
    <w:p w14:paraId="37BCAD78">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七、开标、评标和定标</w:t>
      </w:r>
      <w:bookmarkEnd w:id="34"/>
      <w:bookmarkEnd w:id="35"/>
      <w:bookmarkEnd w:id="36"/>
    </w:p>
    <w:p w14:paraId="3AB5C8B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1、开标： </w:t>
      </w:r>
    </w:p>
    <w:p w14:paraId="03A0E4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1.1开标时间和地点</w:t>
      </w:r>
    </w:p>
    <w:p w14:paraId="5B73BE9C">
      <w:pPr>
        <w:spacing w:line="560" w:lineRule="exact"/>
        <w:ind w:firstLine="480" w:firstLineChars="200"/>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采购代理机构按竞争性磋商文件规定的</w:t>
      </w:r>
      <w:r>
        <w:rPr>
          <w:rFonts w:hint="eastAsia" w:ascii="宋体" w:hAnsi="宋体" w:eastAsia="宋体" w:cs="宋体"/>
          <w:color w:val="000000" w:themeColor="text1"/>
          <w:szCs w:val="24"/>
          <w:highlight w:val="none"/>
          <w:lang w:val="en-US" w:eastAsia="zh-CN"/>
          <w14:textFill>
            <w14:solidFill>
              <w14:schemeClr w14:val="tx1"/>
            </w14:solidFill>
          </w14:textFill>
        </w:rPr>
        <w:t>时间登录不见面开标大厅，</w:t>
      </w:r>
      <w:r>
        <w:rPr>
          <w:rFonts w:hint="eastAsia" w:ascii="宋体" w:hAnsi="宋体" w:eastAsia="宋体" w:cs="宋体"/>
          <w:color w:val="000000" w:themeColor="text1"/>
          <w:szCs w:val="24"/>
          <w:highlight w:val="none"/>
          <w14:textFill>
            <w14:solidFill>
              <w14:schemeClr w14:val="tx1"/>
            </w14:solidFill>
          </w14:textFill>
        </w:rPr>
        <w:t>因供应商自身</w:t>
      </w:r>
      <w:r>
        <w:rPr>
          <w:rFonts w:hint="eastAsia" w:ascii="宋体" w:hAnsi="宋体" w:eastAsia="宋体" w:cs="宋体"/>
          <w:color w:val="000000" w:themeColor="text1"/>
          <w:szCs w:val="24"/>
          <w:highlight w:val="none"/>
          <w:lang w:val="en-US" w:eastAsia="zh-CN"/>
          <w14:textFill>
            <w14:solidFill>
              <w14:schemeClr w14:val="tx1"/>
            </w14:solidFill>
          </w14:textFill>
        </w:rPr>
        <w:t>设备</w:t>
      </w:r>
      <w:r>
        <w:rPr>
          <w:rFonts w:hint="eastAsia" w:ascii="宋体" w:hAnsi="宋体" w:eastAsia="宋体" w:cs="宋体"/>
          <w:color w:val="000000" w:themeColor="text1"/>
          <w:szCs w:val="24"/>
          <w:highlight w:val="none"/>
          <w14:textFill>
            <w14:solidFill>
              <w14:schemeClr w14:val="tx1"/>
            </w14:solidFill>
          </w14:textFill>
        </w:rPr>
        <w:t>故障或自身原因导致无法完成投标的，由供应商自行承担后果</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磋商整个过程接受监督部门的监督。</w:t>
      </w:r>
    </w:p>
    <w:p w14:paraId="1B23BCE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1.2开标程序</w:t>
      </w:r>
    </w:p>
    <w:p w14:paraId="0E1D780A">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1）采购代理机构在规定的时间和地点组织线上磋商，供应商须委派代表线上参会； </w:t>
      </w:r>
    </w:p>
    <w:p w14:paraId="0587D360">
      <w:pPr>
        <w:spacing w:line="560" w:lineRule="exact"/>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2）开标时，供应商须提前进入不见面开标大厅、等待开标并签到、公布开标纪律、查看投标人名单、标书解密、批量导入、磋商、等待二次报价（（各供应商签到内容应含供应商联系人及联系电话，确保在磋商环节采购代理机构工作人员能及时有效的联系沟通，确保各供应商能及时进行响应和在规定时间内进行最终报价。等待时不可退出系统，如退出系统后果自行承担。）；</w:t>
      </w:r>
    </w:p>
    <w:p w14:paraId="1E7F59B3">
      <w:pPr>
        <w:spacing w:line="480" w:lineRule="auto"/>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3）文字异议：投标人在开标期间，可以通过文字向主持人提问； </w:t>
      </w:r>
    </w:p>
    <w:p w14:paraId="44D795BC">
      <w:pPr>
        <w:spacing w:line="480" w:lineRule="auto"/>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4）不见面询标：投标人在收到评委的质询处理后进入询标； </w:t>
      </w:r>
    </w:p>
    <w:p w14:paraId="155581A4">
      <w:pPr>
        <w:spacing w:line="480" w:lineRule="auto"/>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5）多轮报价：投标人在收到评委发起的多轮报价后进入报价页面进行二次报价； </w:t>
      </w:r>
    </w:p>
    <w:p w14:paraId="0F23B818">
      <w:pPr>
        <w:spacing w:line="480" w:lineRule="auto"/>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 xml:space="preserve">6）输入报价后签章提交； </w:t>
      </w:r>
    </w:p>
    <w:p w14:paraId="2F81EB0D">
      <w:pPr>
        <w:spacing w:line="480" w:lineRule="auto"/>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7）采购代理机构做好开标记录。</w:t>
      </w:r>
    </w:p>
    <w:p w14:paraId="7BB7BD5B">
      <w:pPr>
        <w:spacing w:line="480" w:lineRule="auto"/>
        <w:ind w:firstLine="723" w:firstLineChars="300"/>
        <w:rPr>
          <w:rFonts w:hint="eastAsia" w:ascii="宋体" w:hAnsi="宋体" w:eastAsia="宋体" w:cs="宋体"/>
          <w:b/>
          <w:bCs/>
          <w:color w:val="auto"/>
          <w:szCs w:val="24"/>
          <w:lang w:val="en-US" w:eastAsia="zh-CN"/>
        </w:rPr>
      </w:pPr>
      <w:r>
        <w:rPr>
          <w:rFonts w:hint="eastAsia" w:ascii="宋体" w:hAnsi="宋体" w:eastAsia="宋体" w:cs="宋体"/>
          <w:b/>
          <w:bCs/>
          <w:color w:val="auto"/>
          <w:szCs w:val="24"/>
          <w:lang w:val="en-US" w:eastAsia="zh-CN"/>
        </w:rPr>
        <w:t>注:投标供应商在整个磋商过程中因退出不见面开标系统或未及时接受在线磋商通知或因自身原因导致无法正常进行磋商的，导致的不利后果由供应商自行承担。</w:t>
      </w:r>
    </w:p>
    <w:p w14:paraId="21244BBD">
      <w:pPr>
        <w:spacing w:line="480" w:lineRule="auto"/>
        <w:ind w:firstLine="482"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b/>
          <w:bCs/>
          <w:color w:val="auto"/>
          <w:szCs w:val="24"/>
          <w:lang w:val="en-US" w:eastAsia="zh-CN"/>
        </w:rPr>
        <w:t>磋商小组完成在线磋商后发起最后报价，投标供应商可通过“不见面开标大厅”直接跳转到二次报价页面进行报价并签章后提交。最后报价一旦提交后，供应商不得以任何理由撤回，供应商未按磋商小组要求在规定时间内提交最后报价的，视为其退出磋商。</w:t>
      </w:r>
    </w:p>
    <w:p w14:paraId="19D21D67">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1.3、在开标环节出现下列情况之一的，其电子响应文件视为无效文件：</w:t>
      </w:r>
    </w:p>
    <w:p w14:paraId="275F75E8">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（1）供应商拒绝对电子响应文件进行解密的；</w:t>
      </w:r>
    </w:p>
    <w:p w14:paraId="25D53F20">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（2）因供应商自身原因（如未带 CA 锁、或所带 CA 锁与制作电子响应文件使用的 CA锁不一致、或沿用旧版竞争性磋商文件编制响应文件等情形），导致在规定时间内无法解密响应文件的；</w:t>
      </w:r>
    </w:p>
    <w:p w14:paraId="5B8DD0F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（3）上传的电子响应文件无法打开的；</w:t>
      </w:r>
    </w:p>
    <w:p w14:paraId="471E87F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（4）政府采购法律法规规定的其他无效情形。</w:t>
      </w:r>
    </w:p>
    <w:p w14:paraId="73CDC4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1.4当出现以下情况时，应对未开标的中止电子开标，并在恢复正常后及时安排时间开标： </w:t>
      </w:r>
    </w:p>
    <w:p w14:paraId="7A7B537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（1）系统服务器发生故障，无法访问或无法使用系统； </w:t>
      </w:r>
    </w:p>
    <w:p w14:paraId="687B5A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（2）系统的软件或数据库出现错误，不能进行正常操作； </w:t>
      </w:r>
    </w:p>
    <w:p w14:paraId="27EC7FF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（3）系统发现有安全漏洞，有潜在的泄密危险； </w:t>
      </w:r>
    </w:p>
    <w:p w14:paraId="407BD32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（4）出现断电事故且短时间内无法恢复供电； </w:t>
      </w:r>
    </w:p>
    <w:p w14:paraId="12FE478C">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（5）其他无法保证招投标过程正常进行的情形。</w:t>
      </w:r>
    </w:p>
    <w:p w14:paraId="3E305021">
      <w:pPr>
        <w:spacing w:line="560" w:lineRule="exact"/>
        <w:ind w:firstLine="480" w:firstLineChars="200"/>
        <w:rPr>
          <w:rFonts w:ascii="宋体" w:hAnsi="宋体" w:eastAsia="宋体" w:cs="宋体"/>
          <w:highlight w:val="none"/>
        </w:rPr>
      </w:pPr>
      <w:r>
        <w:rPr>
          <w:rFonts w:hint="eastAsia" w:ascii="宋体" w:hAnsi="宋体" w:eastAsia="宋体" w:cs="宋体"/>
          <w:color w:val="000000" w:themeColor="text1"/>
          <w:szCs w:val="24"/>
          <w:highlight w:val="none"/>
          <w14:textFill>
            <w14:solidFill>
              <w14:schemeClr w14:val="tx1"/>
            </w14:solidFill>
          </w14:textFill>
        </w:rPr>
        <w:t>1.5终止电子开标时，必须对原有资料及信息作出妥善保密处理。</w:t>
      </w:r>
    </w:p>
    <w:p w14:paraId="5DD28F73">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2、评标</w:t>
      </w:r>
    </w:p>
    <w:p w14:paraId="18EE632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2-1、</w:t>
      </w:r>
      <w:r>
        <w:rPr>
          <w:rFonts w:hint="eastAsia" w:ascii="宋体" w:hAnsi="宋体" w:eastAsia="宋体" w:cs="宋体"/>
          <w:bCs/>
          <w:color w:val="000000" w:themeColor="text1"/>
          <w:szCs w:val="24"/>
          <w:highlight w:val="none"/>
          <w14:textFill>
            <w14:solidFill>
              <w14:schemeClr w14:val="tx1"/>
            </w14:solidFill>
          </w14:textFill>
        </w:rPr>
        <w:t>磋商小组</w:t>
      </w:r>
    </w:p>
    <w:p w14:paraId="2593234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（1）采购代理机构根据《中华人民共和国政府采购法》及其实施条例、《政府采购竞争性磋商采购方式管理暂行办法》（财库〔2014〕214号）等规定，依法组建</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w:t>
      </w:r>
    </w:p>
    <w:p w14:paraId="015B824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（2）采购人派代表进入评标室时，须向采购代理机构出具授权函。</w:t>
      </w:r>
    </w:p>
    <w:p w14:paraId="53623A1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（3）磋商小组成员应推荐一名评审专家担任评审组长，并由评审组长牵头组织该项目评审工作，采购人代表不得担任评审组长。</w:t>
      </w:r>
    </w:p>
    <w:p w14:paraId="60D4A8F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（4）磋商小组成员不得参加开标活动。</w:t>
      </w:r>
    </w:p>
    <w:p w14:paraId="4BC01A3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（5）磋商小组成员应当遵守并履行下列职责义务：</w:t>
      </w:r>
    </w:p>
    <w:p w14:paraId="0C9C9D6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a、遵纪守法，客观、公正、认真负责地履行职责，根据竞争性磋商文件规定的评标程序、评标方法和评标标准审查响应文件；</w:t>
      </w:r>
    </w:p>
    <w:p w14:paraId="21BE3E8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b、符合性审查、评价响应文件是否符合竞争性磋商文件的商务、技术等实质性要求；</w:t>
      </w:r>
    </w:p>
    <w:p w14:paraId="33D1739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c、要求供应商对响应文件有关事项作出澄清或者说明；</w:t>
      </w:r>
    </w:p>
    <w:p w14:paraId="662B24A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d、对响应文件进行比较和评价；</w:t>
      </w:r>
    </w:p>
    <w:p w14:paraId="712B797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e、确定成交候选人名单，以及根据采购人委托直接确定成交人；</w:t>
      </w:r>
    </w:p>
    <w:p w14:paraId="41A82E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f、向采购人、采购代理机构或者有关部门报告评标中发现的违法行为； </w:t>
      </w:r>
    </w:p>
    <w:p w14:paraId="48E603A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g、对评标过程及各供应商的商业机密予以保密；</w:t>
      </w:r>
    </w:p>
    <w:p w14:paraId="045D411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h、配合采购人、采购代理机构答复各供应商提出的质疑；</w:t>
      </w:r>
    </w:p>
    <w:p w14:paraId="60EED12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i、配合各部门的投诉处理和监督检查工作。</w:t>
      </w:r>
    </w:p>
    <w:p w14:paraId="272B4B1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2-2、在政府采购活动中，采购人员及相关人员（包括磋商小组）与供应商有下列利害关系之一的，应当回避：</w:t>
      </w:r>
    </w:p>
    <w:p w14:paraId="78D74C4A">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（1）参加采购活动前3年内与供应商存在劳动关系；</w:t>
      </w:r>
    </w:p>
    <w:p w14:paraId="7941739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（2）参加采购活动前3年内担任供应商的董事、监事；</w:t>
      </w:r>
    </w:p>
    <w:p w14:paraId="0FD5F8A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（3）参加采购活动前3年内是供应商的控股股东或者实际控制人；</w:t>
      </w:r>
    </w:p>
    <w:p w14:paraId="22A21F59">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（4）与供应商的法定代表人或者负责人有夫妻、直系血亲、三代以内旁系血亲或者近姻亲关系；</w:t>
      </w:r>
    </w:p>
    <w:p w14:paraId="12426BE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（5）与供应商有其他可能影响政府采购活动公平、公正进行的关系。</w:t>
      </w:r>
    </w:p>
    <w:p w14:paraId="00560A5A">
      <w:pPr>
        <w:spacing w:line="560" w:lineRule="exact"/>
        <w:ind w:firstLine="480" w:firstLineChars="200"/>
        <w:rPr>
          <w:rFonts w:ascii="宋体" w:hAnsi="宋体" w:eastAsia="宋体" w:cs="宋体"/>
          <w:bCs/>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2-3、评</w:t>
      </w:r>
      <w:r>
        <w:rPr>
          <w:rFonts w:hint="eastAsia" w:ascii="宋体" w:hAnsi="宋体" w:eastAsia="宋体" w:cs="宋体"/>
          <w:bCs/>
          <w:color w:val="000000" w:themeColor="text1"/>
          <w:szCs w:val="24"/>
          <w:highlight w:val="none"/>
          <w:lang w:val="en-US" w:eastAsia="zh-CN"/>
          <w14:textFill>
            <w14:solidFill>
              <w14:schemeClr w14:val="tx1"/>
            </w14:solidFill>
          </w14:textFill>
        </w:rPr>
        <w:t>审</w:t>
      </w:r>
      <w:r>
        <w:rPr>
          <w:rFonts w:hint="eastAsia" w:ascii="宋体" w:hAnsi="宋体" w:eastAsia="宋体" w:cs="宋体"/>
          <w:bCs/>
          <w:color w:val="000000" w:themeColor="text1"/>
          <w:szCs w:val="24"/>
          <w:highlight w:val="none"/>
          <w14:textFill>
            <w14:solidFill>
              <w14:schemeClr w14:val="tx1"/>
            </w14:solidFill>
          </w14:textFill>
        </w:rPr>
        <w:t>原则：</w:t>
      </w:r>
      <w:r>
        <w:rPr>
          <w:rFonts w:hint="eastAsia" w:ascii="宋体" w:hAnsi="宋体" w:eastAsia="宋体" w:cs="宋体"/>
          <w:color w:val="000000" w:themeColor="text1"/>
          <w:szCs w:val="24"/>
          <w:highlight w:val="none"/>
          <w14:textFill>
            <w14:solidFill>
              <w14:schemeClr w14:val="tx1"/>
            </w14:solidFill>
          </w14:textFill>
        </w:rPr>
        <w:t>坚持</w:t>
      </w:r>
      <w:r>
        <w:rPr>
          <w:rFonts w:hint="eastAsia" w:ascii="宋体" w:hAnsi="宋体" w:eastAsia="宋体" w:cs="宋体"/>
          <w:color w:val="000000" w:themeColor="text1"/>
          <w:szCs w:val="24"/>
          <w:highlight w:val="none"/>
          <w:lang w:val="en-US" w:eastAsia="zh-CN"/>
          <w14:textFill>
            <w14:solidFill>
              <w14:schemeClr w14:val="tx1"/>
            </w14:solidFill>
          </w14:textFill>
        </w:rPr>
        <w:t>客观</w:t>
      </w:r>
      <w:r>
        <w:rPr>
          <w:rFonts w:hint="eastAsia" w:ascii="宋体" w:hAnsi="宋体" w:eastAsia="宋体" w:cs="宋体"/>
          <w:color w:val="000000" w:themeColor="text1"/>
          <w:szCs w:val="24"/>
          <w:highlight w:val="none"/>
          <w14:textFill>
            <w14:solidFill>
              <w14:schemeClr w14:val="tx1"/>
            </w14:solidFill>
          </w14:textFill>
        </w:rPr>
        <w:t>、公正、</w:t>
      </w:r>
      <w:r>
        <w:rPr>
          <w:rFonts w:hint="eastAsia" w:ascii="宋体" w:hAnsi="宋体" w:eastAsia="宋体" w:cs="宋体"/>
          <w:color w:val="000000" w:themeColor="text1"/>
          <w:szCs w:val="24"/>
          <w:highlight w:val="none"/>
          <w:lang w:val="en-US" w:eastAsia="zh-CN"/>
          <w14:textFill>
            <w14:solidFill>
              <w14:schemeClr w14:val="tx1"/>
            </w14:solidFill>
          </w14:textFill>
        </w:rPr>
        <w:t>审慎</w:t>
      </w:r>
      <w:r>
        <w:rPr>
          <w:rFonts w:hint="eastAsia" w:ascii="宋体" w:hAnsi="宋体" w:eastAsia="宋体" w:cs="宋体"/>
          <w:color w:val="000000" w:themeColor="text1"/>
          <w:szCs w:val="24"/>
          <w:highlight w:val="none"/>
          <w14:textFill>
            <w14:solidFill>
              <w14:schemeClr w14:val="tx1"/>
            </w14:solidFill>
          </w14:textFill>
        </w:rPr>
        <w:t>原则，禁止不正当竞争。</w:t>
      </w:r>
    </w:p>
    <w:p w14:paraId="2D443F3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Cs/>
          <w:color w:val="000000" w:themeColor="text1"/>
          <w:szCs w:val="24"/>
          <w:highlight w:val="none"/>
          <w14:textFill>
            <w14:solidFill>
              <w14:schemeClr w14:val="tx1"/>
            </w14:solidFill>
          </w14:textFill>
        </w:rPr>
        <w:t>2-4、评</w:t>
      </w:r>
      <w:r>
        <w:rPr>
          <w:rFonts w:hint="eastAsia" w:ascii="宋体" w:hAnsi="宋体" w:eastAsia="宋体" w:cs="宋体"/>
          <w:bCs/>
          <w:color w:val="000000" w:themeColor="text1"/>
          <w:szCs w:val="24"/>
          <w:highlight w:val="none"/>
          <w:lang w:val="en-US" w:eastAsia="zh-CN"/>
          <w14:textFill>
            <w14:solidFill>
              <w14:schemeClr w14:val="tx1"/>
            </w14:solidFill>
          </w14:textFill>
        </w:rPr>
        <w:t>审</w:t>
      </w:r>
      <w:r>
        <w:rPr>
          <w:rFonts w:hint="eastAsia" w:ascii="宋体" w:hAnsi="宋体" w:eastAsia="宋体" w:cs="宋体"/>
          <w:bCs/>
          <w:color w:val="000000" w:themeColor="text1"/>
          <w:szCs w:val="24"/>
          <w:highlight w:val="none"/>
          <w14:textFill>
            <w14:solidFill>
              <w14:schemeClr w14:val="tx1"/>
            </w14:solidFill>
          </w14:textFill>
        </w:rPr>
        <w:t>办法</w:t>
      </w:r>
      <w:r>
        <w:rPr>
          <w:rFonts w:hint="eastAsia" w:ascii="宋体" w:hAnsi="宋体" w:eastAsia="宋体" w:cs="宋体"/>
          <w:color w:val="000000" w:themeColor="text1"/>
          <w:szCs w:val="24"/>
          <w:highlight w:val="none"/>
          <w14:textFill>
            <w14:solidFill>
              <w14:schemeClr w14:val="tx1"/>
            </w14:solidFill>
          </w14:textFill>
        </w:rPr>
        <w:t>：本次招标采用综合评分法（详见本节评分标准）。</w:t>
      </w:r>
    </w:p>
    <w:p w14:paraId="44140F4D">
      <w:pPr>
        <w:spacing w:line="560" w:lineRule="exact"/>
        <w:ind w:firstLine="482"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2-5、评</w:t>
      </w:r>
      <w:r>
        <w:rPr>
          <w:rFonts w:hint="eastAsia" w:ascii="宋体" w:hAnsi="宋体" w:eastAsia="宋体" w:cs="宋体"/>
          <w:b/>
          <w:color w:val="000000" w:themeColor="text1"/>
          <w:szCs w:val="24"/>
          <w:highlight w:val="none"/>
          <w:lang w:val="en-US" w:eastAsia="zh-CN"/>
          <w14:textFill>
            <w14:solidFill>
              <w14:schemeClr w14:val="tx1"/>
            </w14:solidFill>
          </w14:textFill>
        </w:rPr>
        <w:t>审</w:t>
      </w:r>
      <w:r>
        <w:rPr>
          <w:rFonts w:hint="eastAsia" w:ascii="宋体" w:hAnsi="宋体" w:eastAsia="宋体" w:cs="宋体"/>
          <w:b/>
          <w:color w:val="000000" w:themeColor="text1"/>
          <w:szCs w:val="24"/>
          <w:highlight w:val="none"/>
          <w14:textFill>
            <w14:solidFill>
              <w14:schemeClr w14:val="tx1"/>
            </w14:solidFill>
          </w14:textFill>
        </w:rPr>
        <w:t>工作程序：</w:t>
      </w:r>
      <w:r>
        <w:rPr>
          <w:rFonts w:hint="eastAsia" w:ascii="宋体" w:hAnsi="宋体" w:eastAsia="宋体" w:cs="宋体"/>
          <w:color w:val="000000" w:themeColor="text1"/>
          <w:kern w:val="0"/>
          <w:highlight w:val="none"/>
          <w14:textFill>
            <w14:solidFill>
              <w14:schemeClr w14:val="tx1"/>
            </w14:solidFill>
          </w14:textFill>
        </w:rPr>
        <w:t>资格审查、</w:t>
      </w:r>
      <w:r>
        <w:rPr>
          <w:rFonts w:hint="eastAsia" w:ascii="宋体" w:hAnsi="宋体" w:eastAsia="宋体" w:cs="宋体"/>
          <w:color w:val="000000" w:themeColor="text1"/>
          <w:szCs w:val="24"/>
          <w:highlight w:val="none"/>
          <w14:textFill>
            <w14:solidFill>
              <w14:schemeClr w14:val="tx1"/>
            </w14:solidFill>
          </w14:textFill>
        </w:rPr>
        <w:t>符合性审查、最后报价、澄清、评价（详评）、推荐中标候选人的工作程序进行评标。</w:t>
      </w:r>
    </w:p>
    <w:p w14:paraId="2A1371A3">
      <w:pPr>
        <w:pStyle w:val="32"/>
        <w:widowControl/>
        <w:wordWrap w:val="0"/>
        <w:spacing w:line="560" w:lineRule="exact"/>
        <w:ind w:firstLine="480" w:firstLineChars="200"/>
        <w:jc w:val="both"/>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2-5-1、响应文件资格审查</w:t>
      </w:r>
    </w:p>
    <w:p w14:paraId="67EABB9E">
      <w:pPr>
        <w:pStyle w:val="32"/>
        <w:widowControl/>
        <w:wordWrap w:val="0"/>
        <w:spacing w:line="560" w:lineRule="exact"/>
        <w:ind w:firstLine="480" w:firstLineChars="200"/>
        <w:jc w:val="both"/>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磋商小组依法对供应商</w:t>
      </w:r>
      <w:r>
        <w:rPr>
          <w:rFonts w:hint="eastAsia" w:ascii="宋体" w:hAnsi="宋体" w:eastAsia="宋体" w:cs="宋体"/>
          <w:color w:val="000000" w:themeColor="text1"/>
          <w:highlight w:val="none"/>
          <w14:textFill>
            <w14:solidFill>
              <w14:schemeClr w14:val="tx1"/>
            </w14:solidFill>
          </w14:textFill>
        </w:rPr>
        <w:t>响应文件</w:t>
      </w:r>
      <w:r>
        <w:rPr>
          <w:rFonts w:hint="eastAsia" w:ascii="宋体" w:hAnsi="宋体" w:eastAsia="宋体" w:cs="宋体"/>
          <w:color w:val="000000" w:themeColor="text1"/>
          <w:highlight w:val="none"/>
          <w:lang w:val="en-US" w:eastAsia="zh-CN"/>
          <w14:textFill>
            <w14:solidFill>
              <w14:schemeClr w14:val="tx1"/>
            </w14:solidFill>
          </w14:textFill>
        </w:rPr>
        <w:t>资格证明文件进行审查：</w:t>
      </w:r>
    </w:p>
    <w:p w14:paraId="42E28714">
      <w:pPr>
        <w:pStyle w:val="32"/>
        <w:widowControl/>
        <w:numPr>
          <w:ilvl w:val="0"/>
          <w:numId w:val="0"/>
        </w:numPr>
        <w:wordWrap w:val="0"/>
        <w:spacing w:line="560" w:lineRule="exact"/>
        <w:ind w:firstLine="480" w:firstLineChars="200"/>
        <w:jc w:val="both"/>
        <w:rPr>
          <w:rFonts w:hint="eastAsia"/>
          <w:highlight w:val="none"/>
        </w:rPr>
      </w:pPr>
      <w:r>
        <w:rPr>
          <w:rFonts w:hint="eastAsia" w:asciiTheme="majorEastAsia" w:hAnsiTheme="majorEastAsia" w:eastAsiaTheme="majorEastAsia" w:cstheme="majorEastAsia"/>
          <w:sz w:val="24"/>
          <w:szCs w:val="24"/>
          <w:highlight w:val="none"/>
          <w:shd w:val="clear" w:color="auto" w:fill="FFFFFF"/>
          <w:lang w:val="en-US" w:eastAsia="zh-CN"/>
        </w:rPr>
        <w:t>1）</w:t>
      </w:r>
      <w:r>
        <w:rPr>
          <w:rFonts w:hint="eastAsia" w:asciiTheme="majorEastAsia" w:hAnsiTheme="majorEastAsia" w:eastAsiaTheme="majorEastAsia" w:cstheme="majorEastAsia"/>
          <w:sz w:val="24"/>
          <w:szCs w:val="24"/>
          <w:highlight w:val="none"/>
          <w:shd w:val="clear" w:color="auto" w:fill="FFFFFF"/>
        </w:rPr>
        <w:t>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0C7C790C">
      <w:pPr>
        <w:pStyle w:val="32"/>
        <w:widowControl/>
        <w:numPr>
          <w:ilvl w:val="0"/>
          <w:numId w:val="0"/>
        </w:numPr>
        <w:wordWrap w:val="0"/>
        <w:spacing w:line="560" w:lineRule="exact"/>
        <w:ind w:firstLine="480" w:firstLineChars="200"/>
        <w:jc w:val="both"/>
        <w:rPr>
          <w:rFonts w:hint="eastAsia" w:eastAsiaTheme="majorEastAsia"/>
          <w:highlight w:val="none"/>
          <w:lang w:eastAsia="zh-CN"/>
        </w:rPr>
      </w:pPr>
      <w:r>
        <w:rPr>
          <w:rFonts w:hint="eastAsia" w:asciiTheme="majorEastAsia" w:hAnsiTheme="majorEastAsia" w:eastAsiaTheme="majorEastAsia" w:cstheme="majorEastAsia"/>
          <w:sz w:val="24"/>
          <w:szCs w:val="24"/>
          <w:highlight w:val="none"/>
          <w:shd w:val="clear" w:color="auto" w:fill="FFFFFF"/>
          <w:lang w:val="en-US" w:eastAsia="zh-CN"/>
        </w:rPr>
        <w:t>2</w:t>
      </w:r>
      <w:r>
        <w:rPr>
          <w:rFonts w:hint="eastAsia" w:asciiTheme="majorEastAsia" w:hAnsiTheme="majorEastAsia" w:eastAsiaTheme="majorEastAsia" w:cstheme="majorEastAsia"/>
          <w:sz w:val="24"/>
          <w:szCs w:val="24"/>
          <w:highlight w:val="none"/>
          <w:shd w:val="clear" w:color="auto" w:fill="FFFFFF"/>
        </w:rPr>
        <w:t>）财务状况报告：</w:t>
      </w:r>
      <w:r>
        <w:rPr>
          <w:rFonts w:hint="eastAsia" w:asciiTheme="majorEastAsia" w:hAnsiTheme="majorEastAsia" w:eastAsiaTheme="majorEastAsia" w:cstheme="majorEastAsia"/>
          <w:sz w:val="24"/>
          <w:szCs w:val="24"/>
          <w:highlight w:val="none"/>
          <w:shd w:val="clear" w:color="auto" w:fill="FFFFFF"/>
          <w:lang w:eastAsia="zh-CN"/>
        </w:rPr>
        <w:t>供应商须提供2024年度或2025年度的财务审计报告（至少包括资产负债表和利润表，成立时间至提交响应文件截止时间不足一年的可提供成立后任意时段的资产负债表）或其基本存款账户开户银行出具的资信证明。其他组织和自然人提供银行出具的资信证明；</w:t>
      </w:r>
    </w:p>
    <w:p w14:paraId="03E6A312">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3</w:t>
      </w:r>
      <w:r>
        <w:rPr>
          <w:rFonts w:hint="eastAsia" w:asciiTheme="majorEastAsia" w:hAnsiTheme="majorEastAsia" w:eastAsiaTheme="majorEastAsia" w:cstheme="majorEastAsia"/>
          <w:sz w:val="24"/>
          <w:szCs w:val="24"/>
          <w:highlight w:val="none"/>
          <w:shd w:val="clear" w:color="auto" w:fill="FFFFFF"/>
        </w:rPr>
        <w:t>）社保缴纳证明：</w:t>
      </w:r>
      <w:r>
        <w:rPr>
          <w:rFonts w:hint="eastAsia" w:asciiTheme="majorEastAsia" w:hAnsiTheme="majorEastAsia" w:eastAsiaTheme="majorEastAsia" w:cstheme="majorEastAsia"/>
          <w:sz w:val="24"/>
          <w:szCs w:val="24"/>
          <w:highlight w:val="none"/>
          <w:shd w:val="clear" w:color="auto" w:fill="FFFFFF"/>
          <w:lang w:eastAsia="zh-CN"/>
        </w:rPr>
        <w:t>供应商须提供2025年04月至今已缴存的连续六个月的社会保障资金缴存单据或社保机构开具的社会保险参保缴费情况证明，依法不需要缴纳社会保障资金的单位应提供相关证明材料；</w:t>
      </w:r>
    </w:p>
    <w:p w14:paraId="68B12E15">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4</w:t>
      </w:r>
      <w:r>
        <w:rPr>
          <w:rFonts w:hint="eastAsia" w:asciiTheme="majorEastAsia" w:hAnsiTheme="majorEastAsia" w:eastAsiaTheme="majorEastAsia" w:cstheme="majorEastAsia"/>
          <w:sz w:val="24"/>
          <w:szCs w:val="24"/>
          <w:highlight w:val="none"/>
          <w:shd w:val="clear" w:color="auto" w:fill="FFFFFF"/>
        </w:rPr>
        <w:t>）税收缴纳证明：</w:t>
      </w:r>
      <w:r>
        <w:rPr>
          <w:rFonts w:hint="eastAsia" w:asciiTheme="majorEastAsia" w:hAnsiTheme="majorEastAsia" w:eastAsiaTheme="majorEastAsia" w:cstheme="majorEastAsia"/>
          <w:sz w:val="24"/>
          <w:szCs w:val="24"/>
          <w:highlight w:val="none"/>
          <w:shd w:val="clear" w:color="auto" w:fill="FFFFFF"/>
          <w:lang w:eastAsia="zh-CN"/>
        </w:rPr>
        <w:t>供应商须提供2025年04月至今已缴存的连续六个月的纳税证明或完税证明，依法免税的单位应提供相关证明材料；</w:t>
      </w:r>
    </w:p>
    <w:p w14:paraId="3BEC8AB7">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5</w:t>
      </w:r>
      <w:r>
        <w:rPr>
          <w:rFonts w:hint="eastAsia" w:asciiTheme="majorEastAsia" w:hAnsiTheme="majorEastAsia" w:eastAsiaTheme="majorEastAsia" w:cstheme="majorEastAsia"/>
          <w:sz w:val="24"/>
          <w:szCs w:val="24"/>
          <w:highlight w:val="none"/>
          <w:shd w:val="clear" w:color="auto" w:fill="FFFFFF"/>
        </w:rPr>
        <w:t>）信用记录：</w:t>
      </w:r>
      <w:r>
        <w:rPr>
          <w:rFonts w:hint="eastAsia" w:asciiTheme="majorEastAsia" w:hAnsiTheme="majorEastAsia" w:eastAsiaTheme="majorEastAsia" w:cstheme="majorEastAsia"/>
          <w:sz w:val="24"/>
          <w:szCs w:val="24"/>
          <w:highlight w:val="none"/>
          <w:shd w:val="clear" w:color="auto" w:fill="FFFFFF"/>
          <w:lang w:val="en-US" w:eastAsia="zh-CN"/>
        </w:rPr>
        <w:t>供应商未被列入“信用中国”网站重大税收违法失信主体，供应商未被列入“中国执行信息公开网”网站失信被执行人；未被列入“中国政府采购网”政府采购严重违法失信行为信息记录；</w:t>
      </w:r>
    </w:p>
    <w:p w14:paraId="24B16F30">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6</w:t>
      </w:r>
      <w:r>
        <w:rPr>
          <w:rFonts w:hint="eastAsia" w:asciiTheme="majorEastAsia" w:hAnsiTheme="majorEastAsia" w:eastAsiaTheme="majorEastAsia" w:cstheme="majorEastAsia"/>
          <w:sz w:val="24"/>
          <w:szCs w:val="24"/>
          <w:highlight w:val="none"/>
          <w:shd w:val="clear" w:color="auto" w:fill="FFFFFF"/>
        </w:rPr>
        <w:t>）控股管理关系：单位负责人为同一人或者存在直接控股、管理关系的不同供应商，不得参加同一合同项下的政府采购活动（提供书面承诺</w:t>
      </w:r>
      <w:r>
        <w:rPr>
          <w:rFonts w:hint="eastAsia" w:asciiTheme="majorEastAsia" w:hAnsiTheme="majorEastAsia" w:eastAsiaTheme="majorEastAsia" w:cstheme="majorEastAsia"/>
          <w:sz w:val="24"/>
          <w:szCs w:val="24"/>
          <w:highlight w:val="none"/>
          <w:shd w:val="clear" w:color="auto" w:fill="FFFFFF"/>
          <w:lang w:eastAsia="zh-CN"/>
        </w:rPr>
        <w:t>）</w:t>
      </w:r>
      <w:r>
        <w:rPr>
          <w:rFonts w:hint="eastAsia" w:asciiTheme="majorEastAsia" w:hAnsiTheme="majorEastAsia" w:eastAsiaTheme="majorEastAsia" w:cstheme="majorEastAsia"/>
          <w:sz w:val="24"/>
          <w:szCs w:val="24"/>
          <w:highlight w:val="none"/>
          <w:shd w:val="clear" w:color="auto" w:fill="FFFFFF"/>
        </w:rPr>
        <w:t>；</w:t>
      </w:r>
    </w:p>
    <w:p w14:paraId="33C2DC00">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rPr>
      </w:pPr>
      <w:r>
        <w:rPr>
          <w:rFonts w:hint="eastAsia" w:asciiTheme="majorEastAsia" w:hAnsiTheme="majorEastAsia" w:eastAsiaTheme="majorEastAsia" w:cstheme="majorEastAsia"/>
          <w:sz w:val="24"/>
          <w:szCs w:val="24"/>
          <w:highlight w:val="none"/>
          <w:shd w:val="clear" w:color="auto" w:fill="FFFFFF"/>
          <w:lang w:val="en-US" w:eastAsia="zh-CN"/>
        </w:rPr>
        <w:t>7</w:t>
      </w:r>
      <w:r>
        <w:rPr>
          <w:rFonts w:hint="eastAsia" w:asciiTheme="majorEastAsia" w:hAnsiTheme="majorEastAsia" w:eastAsiaTheme="majorEastAsia" w:cstheme="majorEastAsia"/>
          <w:sz w:val="24"/>
          <w:szCs w:val="24"/>
          <w:highlight w:val="none"/>
          <w:shd w:val="clear" w:color="auto" w:fill="FFFFFF"/>
        </w:rPr>
        <w:t>）书面声明：参加政府采购活动前3年内在经营活动中没有重大违法记录的书面声明；</w:t>
      </w:r>
    </w:p>
    <w:p w14:paraId="1C4EA0E4">
      <w:pPr>
        <w:pStyle w:val="32"/>
        <w:widowControl/>
        <w:wordWrap w:val="0"/>
        <w:spacing w:line="560" w:lineRule="exact"/>
        <w:ind w:firstLine="480" w:firstLineChars="200"/>
        <w:jc w:val="both"/>
        <w:rPr>
          <w:rFonts w:hint="eastAsia" w:asciiTheme="majorEastAsia" w:hAnsiTheme="majorEastAsia" w:eastAsiaTheme="majorEastAsia" w:cstheme="majorEastAsia"/>
          <w:sz w:val="24"/>
          <w:szCs w:val="24"/>
          <w:highlight w:val="none"/>
          <w:shd w:val="clear" w:color="auto" w:fill="FFFFFF"/>
          <w:lang w:eastAsia="zh-CN"/>
        </w:rPr>
      </w:pPr>
      <w:r>
        <w:rPr>
          <w:rFonts w:hint="eastAsia" w:asciiTheme="majorEastAsia" w:hAnsiTheme="majorEastAsia" w:eastAsiaTheme="majorEastAsia" w:cstheme="majorEastAsia"/>
          <w:sz w:val="24"/>
          <w:szCs w:val="24"/>
          <w:highlight w:val="none"/>
          <w:shd w:val="clear" w:color="auto" w:fill="FFFFFF"/>
          <w:lang w:val="en-US" w:eastAsia="zh-CN"/>
        </w:rPr>
        <w:t>8</w:t>
      </w:r>
      <w:r>
        <w:rPr>
          <w:rFonts w:hint="eastAsia" w:asciiTheme="majorEastAsia" w:hAnsiTheme="majorEastAsia" w:eastAsiaTheme="majorEastAsia" w:cstheme="majorEastAsia"/>
          <w:sz w:val="24"/>
          <w:szCs w:val="24"/>
          <w:highlight w:val="none"/>
          <w:shd w:val="clear" w:color="auto" w:fill="FFFFFF"/>
        </w:rPr>
        <w:t>）法定代表人授权委托书：</w:t>
      </w:r>
      <w:r>
        <w:rPr>
          <w:rFonts w:hint="eastAsia" w:asciiTheme="majorEastAsia" w:hAnsiTheme="majorEastAsia" w:eastAsiaTheme="majorEastAsia" w:cstheme="majorEastAsia"/>
          <w:sz w:val="24"/>
          <w:szCs w:val="24"/>
          <w:highlight w:val="none"/>
          <w:shd w:val="clear" w:color="auto" w:fill="FFFFFF"/>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29C7B81E">
      <w:pPr>
        <w:pStyle w:val="32"/>
        <w:widowControl/>
        <w:wordWrap w:val="0"/>
        <w:spacing w:line="560" w:lineRule="exact"/>
        <w:ind w:firstLine="480" w:firstLineChars="200"/>
        <w:jc w:val="both"/>
        <w:rPr>
          <w:rFonts w:hint="eastAsia" w:asciiTheme="majorEastAsia" w:hAnsiTheme="majorEastAsia" w:eastAsiaTheme="majorEastAsia" w:cstheme="majorEastAsia"/>
          <w:color w:val="auto"/>
          <w:sz w:val="24"/>
          <w:szCs w:val="24"/>
          <w:highlight w:val="none"/>
          <w:shd w:val="clear" w:color="auto" w:fill="FFFFFF"/>
          <w:lang w:val="en-US" w:eastAsia="zh-CN"/>
        </w:rPr>
      </w:pPr>
      <w:r>
        <w:rPr>
          <w:rFonts w:hint="eastAsia" w:asciiTheme="majorEastAsia" w:hAnsiTheme="majorEastAsia" w:eastAsiaTheme="majorEastAsia" w:cstheme="majorEastAsia"/>
          <w:sz w:val="24"/>
          <w:szCs w:val="24"/>
          <w:highlight w:val="none"/>
          <w:shd w:val="clear" w:color="auto" w:fill="FFFFFF"/>
          <w:lang w:val="en-US" w:eastAsia="zh-CN"/>
        </w:rPr>
        <w:t>9</w:t>
      </w:r>
      <w:r>
        <w:rPr>
          <w:rFonts w:hint="eastAsia" w:asciiTheme="majorEastAsia" w:hAnsiTheme="majorEastAsia" w:eastAsiaTheme="majorEastAsia" w:cstheme="majorEastAsia"/>
          <w:sz w:val="24"/>
          <w:szCs w:val="24"/>
          <w:highlight w:val="none"/>
          <w:shd w:val="clear" w:color="auto" w:fill="FFFFFF"/>
        </w:rPr>
        <w:t>）履行合同所必须的证明资料：具有履行合同所必需的设备和专业技术能力证明资料</w:t>
      </w:r>
      <w:r>
        <w:rPr>
          <w:rFonts w:hint="eastAsia" w:asciiTheme="majorEastAsia" w:hAnsiTheme="majorEastAsia" w:eastAsiaTheme="majorEastAsia" w:cstheme="majorEastAsia"/>
          <w:color w:val="auto"/>
          <w:sz w:val="24"/>
          <w:szCs w:val="24"/>
          <w:highlight w:val="none"/>
          <w:shd w:val="clear" w:color="auto" w:fill="FFFFFF"/>
          <w:lang w:val="en-US" w:eastAsia="zh-CN"/>
        </w:rPr>
        <w:t>（提供书面承诺）；</w:t>
      </w:r>
    </w:p>
    <w:p w14:paraId="2AA67FAB">
      <w:pPr>
        <w:pStyle w:val="143"/>
        <w:pageBreakBefore w:val="0"/>
        <w:shd w:val="clear" w:color="auto" w:fill="FFFFFF"/>
        <w:kinsoku/>
        <w:overflowPunct/>
        <w:topLinePunct w:val="0"/>
        <w:autoSpaceDE/>
        <w:autoSpaceDN/>
        <w:bidi w:val="0"/>
        <w:snapToGrid/>
        <w:spacing w:before="0" w:beforeAutospacing="0" w:after="0" w:afterAutospacing="0" w:line="520" w:lineRule="exact"/>
        <w:ind w:firstLine="480" w:firstLineChars="200"/>
        <w:jc w:val="both"/>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cs="宋体"/>
          <w:color w:val="000000"/>
          <w:kern w:val="0"/>
          <w:sz w:val="24"/>
          <w:szCs w:val="24"/>
          <w:highlight w:val="none"/>
          <w:lang w:val="en-US" w:eastAsia="zh-CN" w:bidi="ar-SA"/>
        </w:rPr>
        <w:t>0</w:t>
      </w:r>
      <w:r>
        <w:rPr>
          <w:rFonts w:hint="eastAsia" w:ascii="宋体" w:hAnsi="宋体" w:eastAsia="宋体" w:cs="宋体"/>
          <w:color w:val="000000"/>
          <w:kern w:val="0"/>
          <w:sz w:val="24"/>
          <w:szCs w:val="24"/>
          <w:highlight w:val="none"/>
          <w:lang w:val="en-US" w:eastAsia="zh-CN" w:bidi="ar-SA"/>
        </w:rPr>
        <w:t>）专门面向中小企业声明函：本项目专门面向中小企业采购，供应商须为中小企业，并提供声明函。</w:t>
      </w:r>
    </w:p>
    <w:p w14:paraId="02CFB3A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2-5-2、响应</w:t>
      </w:r>
      <w:r>
        <w:rPr>
          <w:rFonts w:hint="eastAsia" w:ascii="宋体" w:hAnsi="宋体" w:eastAsia="宋体" w:cs="宋体"/>
          <w:color w:val="000000" w:themeColor="text1"/>
          <w:szCs w:val="24"/>
          <w:highlight w:val="none"/>
          <w14:textFill>
            <w14:solidFill>
              <w14:schemeClr w14:val="tx1"/>
            </w14:solidFill>
          </w14:textFill>
        </w:rPr>
        <w:t>文件符合性审查</w:t>
      </w:r>
    </w:p>
    <w:p w14:paraId="0D59E523">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磋商小组对资格性审查合格的响应文件有效性、完整性和对竞争性磋商文件的响应程度进行审查，以确定其是否对竞争性磋商文件实质性内容作出响应（采购人可根据具体项目的情况对实质性要求作特别的具体规定）。符合性审查按下表进行：</w:t>
      </w:r>
    </w:p>
    <w:tbl>
      <w:tblPr>
        <w:tblStyle w:val="37"/>
        <w:tblW w:w="9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967"/>
        <w:gridCol w:w="2265"/>
        <w:gridCol w:w="5174"/>
      </w:tblGrid>
      <w:tr w14:paraId="053D4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73" w:type="dxa"/>
            <w:vAlign w:val="center"/>
          </w:tcPr>
          <w:p w14:paraId="1CAEEED6">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序号</w:t>
            </w:r>
          </w:p>
        </w:tc>
        <w:tc>
          <w:tcPr>
            <w:tcW w:w="3232" w:type="dxa"/>
            <w:gridSpan w:val="2"/>
            <w:vAlign w:val="center"/>
          </w:tcPr>
          <w:p w14:paraId="487D1D37">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审查因素</w:t>
            </w:r>
          </w:p>
        </w:tc>
        <w:tc>
          <w:tcPr>
            <w:tcW w:w="5174" w:type="dxa"/>
            <w:vAlign w:val="center"/>
          </w:tcPr>
          <w:p w14:paraId="410AA30B">
            <w:pPr>
              <w:tabs>
                <w:tab w:val="left" w:pos="0"/>
              </w:tabs>
              <w:adjustRightInd w:val="0"/>
              <w:snapToGrid w:val="0"/>
              <w:jc w:val="center"/>
              <w:rPr>
                <w:rFonts w:ascii="宋体" w:hAnsi="宋体" w:eastAsia="宋体" w:cs="宋体"/>
                <w:b/>
                <w:szCs w:val="24"/>
                <w:highlight w:val="none"/>
              </w:rPr>
            </w:pPr>
            <w:r>
              <w:rPr>
                <w:rFonts w:hint="eastAsia" w:ascii="宋体" w:hAnsi="宋体" w:eastAsia="宋体" w:cs="宋体"/>
                <w:b/>
                <w:szCs w:val="24"/>
                <w:highlight w:val="none"/>
              </w:rPr>
              <w:t>审查标准</w:t>
            </w:r>
          </w:p>
        </w:tc>
      </w:tr>
      <w:tr w14:paraId="7A85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773" w:type="dxa"/>
            <w:vMerge w:val="restart"/>
            <w:vAlign w:val="center"/>
          </w:tcPr>
          <w:p w14:paraId="5BA8E0D4">
            <w:pPr>
              <w:tabs>
                <w:tab w:val="left" w:pos="0"/>
              </w:tabs>
              <w:adjustRightInd w:val="0"/>
              <w:snapToGrid w:val="0"/>
              <w:spacing w:line="360" w:lineRule="auto"/>
              <w:jc w:val="center"/>
              <w:rPr>
                <w:rFonts w:ascii="宋体" w:hAnsi="宋体" w:eastAsia="宋体" w:cs="宋体"/>
                <w:szCs w:val="24"/>
                <w:highlight w:val="none"/>
              </w:rPr>
            </w:pPr>
            <w:r>
              <w:rPr>
                <w:rFonts w:hint="eastAsia" w:ascii="宋体" w:hAnsi="宋体" w:eastAsia="宋体" w:cs="宋体"/>
                <w:szCs w:val="24"/>
                <w:highlight w:val="none"/>
              </w:rPr>
              <w:t>1</w:t>
            </w:r>
          </w:p>
        </w:tc>
        <w:tc>
          <w:tcPr>
            <w:tcW w:w="967" w:type="dxa"/>
            <w:vMerge w:val="restart"/>
            <w:vAlign w:val="center"/>
          </w:tcPr>
          <w:p w14:paraId="15E4EBED">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有效性、完整性审查</w:t>
            </w:r>
          </w:p>
        </w:tc>
        <w:tc>
          <w:tcPr>
            <w:tcW w:w="2265" w:type="dxa"/>
            <w:vAlign w:val="center"/>
          </w:tcPr>
          <w:p w14:paraId="3E0025C5">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响应文件的签署、盖章</w:t>
            </w:r>
          </w:p>
        </w:tc>
        <w:tc>
          <w:tcPr>
            <w:tcW w:w="5174" w:type="dxa"/>
            <w:vAlign w:val="center"/>
          </w:tcPr>
          <w:p w14:paraId="79407EDF">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响应文件上法定代表人或其授权代理人的签字（或盖章）齐全，且单位盖章齐全，符合竞争性磋商文件要求。</w:t>
            </w:r>
          </w:p>
        </w:tc>
      </w:tr>
      <w:tr w14:paraId="79F5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773" w:type="dxa"/>
            <w:vMerge w:val="continue"/>
          </w:tcPr>
          <w:p w14:paraId="269B21F0">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514F5A7">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496A2B2">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响应文件格式</w:t>
            </w:r>
          </w:p>
        </w:tc>
        <w:tc>
          <w:tcPr>
            <w:tcW w:w="5174" w:type="dxa"/>
            <w:vAlign w:val="center"/>
          </w:tcPr>
          <w:p w14:paraId="274253F9">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符合竞争性磋商文件第五章“响应文件格式”要求</w:t>
            </w:r>
          </w:p>
        </w:tc>
      </w:tr>
      <w:tr w14:paraId="69C3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trPr>
        <w:tc>
          <w:tcPr>
            <w:tcW w:w="773" w:type="dxa"/>
            <w:vMerge w:val="continue"/>
          </w:tcPr>
          <w:p w14:paraId="23C7AACB">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4FA59808">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0C791C51">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响应文件递交</w:t>
            </w:r>
          </w:p>
        </w:tc>
        <w:tc>
          <w:tcPr>
            <w:tcW w:w="5174" w:type="dxa"/>
            <w:vAlign w:val="center"/>
          </w:tcPr>
          <w:p w14:paraId="6010DE89">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符合“供应商须知前附表”规定要求</w:t>
            </w:r>
          </w:p>
        </w:tc>
      </w:tr>
      <w:tr w14:paraId="6D61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773" w:type="dxa"/>
            <w:vMerge w:val="continue"/>
          </w:tcPr>
          <w:p w14:paraId="02EA9810">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2CEB7D13">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95525BF">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磋商报价</w:t>
            </w:r>
          </w:p>
        </w:tc>
        <w:tc>
          <w:tcPr>
            <w:tcW w:w="5174" w:type="dxa"/>
            <w:vAlign w:val="center"/>
          </w:tcPr>
          <w:p w14:paraId="2C14AED1">
            <w:pPr>
              <w:tabs>
                <w:tab w:val="left" w:pos="0"/>
              </w:tabs>
              <w:adjustRightInd w:val="0"/>
              <w:snapToGrid w:val="0"/>
              <w:rPr>
                <w:rFonts w:hint="eastAsia" w:ascii="宋体" w:hAnsi="宋体" w:eastAsia="宋体" w:cs="宋体"/>
                <w:szCs w:val="24"/>
                <w:highlight w:val="none"/>
                <w:lang w:val="en-US" w:eastAsia="zh-CN"/>
              </w:rPr>
            </w:pPr>
            <w:r>
              <w:rPr>
                <w:rFonts w:hint="eastAsia" w:ascii="宋体" w:hAnsi="宋体" w:eastAsia="宋体" w:cs="宋体"/>
                <w:szCs w:val="24"/>
                <w:highlight w:val="none"/>
              </w:rPr>
              <w:t>磋商报价未超过项目</w:t>
            </w:r>
            <w:r>
              <w:rPr>
                <w:rFonts w:hint="eastAsia" w:ascii="宋体" w:hAnsi="宋体" w:eastAsia="宋体" w:cs="宋体"/>
                <w:szCs w:val="24"/>
                <w:highlight w:val="none"/>
                <w:lang w:val="en-US" w:eastAsia="zh-CN"/>
              </w:rPr>
              <w:t>最高限价</w:t>
            </w:r>
          </w:p>
        </w:tc>
      </w:tr>
      <w:tr w14:paraId="59EB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3" w:type="dxa"/>
            <w:vMerge w:val="continue"/>
          </w:tcPr>
          <w:p w14:paraId="0BD81D16">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155B4111">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58CB96E9">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响应文件内容</w:t>
            </w:r>
          </w:p>
        </w:tc>
        <w:tc>
          <w:tcPr>
            <w:tcW w:w="5174" w:type="dxa"/>
            <w:vAlign w:val="center"/>
          </w:tcPr>
          <w:p w14:paraId="59794BD5">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响应文件内容齐全完整、无遗漏</w:t>
            </w:r>
          </w:p>
        </w:tc>
      </w:tr>
      <w:tr w14:paraId="2738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trPr>
        <w:tc>
          <w:tcPr>
            <w:tcW w:w="773" w:type="dxa"/>
            <w:vMerge w:val="restart"/>
            <w:vAlign w:val="center"/>
          </w:tcPr>
          <w:p w14:paraId="260C7099">
            <w:pPr>
              <w:tabs>
                <w:tab w:val="left" w:pos="0"/>
              </w:tabs>
              <w:adjustRightInd w:val="0"/>
              <w:snapToGrid w:val="0"/>
              <w:spacing w:line="360" w:lineRule="auto"/>
              <w:jc w:val="center"/>
              <w:rPr>
                <w:rFonts w:ascii="宋体" w:hAnsi="宋体" w:eastAsia="宋体" w:cs="宋体"/>
                <w:szCs w:val="24"/>
                <w:highlight w:val="none"/>
              </w:rPr>
            </w:pPr>
            <w:r>
              <w:rPr>
                <w:rFonts w:hint="eastAsia" w:ascii="宋体" w:hAnsi="宋体" w:eastAsia="宋体" w:cs="宋体"/>
                <w:szCs w:val="24"/>
                <w:highlight w:val="none"/>
              </w:rPr>
              <w:t>2</w:t>
            </w:r>
          </w:p>
        </w:tc>
        <w:tc>
          <w:tcPr>
            <w:tcW w:w="967" w:type="dxa"/>
            <w:vMerge w:val="restart"/>
            <w:vAlign w:val="center"/>
          </w:tcPr>
          <w:p w14:paraId="07BB3EE6">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响应文件的响应程度审查</w:t>
            </w:r>
          </w:p>
        </w:tc>
        <w:tc>
          <w:tcPr>
            <w:tcW w:w="2265" w:type="dxa"/>
            <w:vAlign w:val="center"/>
          </w:tcPr>
          <w:p w14:paraId="35C3B6FE">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服务期限</w:t>
            </w:r>
          </w:p>
        </w:tc>
        <w:tc>
          <w:tcPr>
            <w:tcW w:w="5174" w:type="dxa"/>
            <w:vAlign w:val="center"/>
          </w:tcPr>
          <w:p w14:paraId="7722D1C4">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满足竞争性磋商文件要求的服务期限</w:t>
            </w:r>
          </w:p>
        </w:tc>
      </w:tr>
      <w:tr w14:paraId="3656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trPr>
        <w:tc>
          <w:tcPr>
            <w:tcW w:w="773" w:type="dxa"/>
            <w:vMerge w:val="continue"/>
          </w:tcPr>
          <w:p w14:paraId="1CA6A095">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C721C69">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46EF57ED">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质量标准</w:t>
            </w:r>
          </w:p>
        </w:tc>
        <w:tc>
          <w:tcPr>
            <w:tcW w:w="5174" w:type="dxa"/>
            <w:vAlign w:val="center"/>
          </w:tcPr>
          <w:p w14:paraId="26D14648">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满足竞争性磋商文件要求的质量标准</w:t>
            </w:r>
          </w:p>
        </w:tc>
      </w:tr>
      <w:tr w14:paraId="2ADF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trPr>
        <w:tc>
          <w:tcPr>
            <w:tcW w:w="773" w:type="dxa"/>
            <w:vMerge w:val="continue"/>
          </w:tcPr>
          <w:p w14:paraId="6CDA9D38">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4EF755B8">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700EF0F2">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lang w:bidi="ar"/>
              </w:rPr>
              <w:t>投标有效期</w:t>
            </w:r>
          </w:p>
        </w:tc>
        <w:tc>
          <w:tcPr>
            <w:tcW w:w="5174" w:type="dxa"/>
            <w:vAlign w:val="center"/>
          </w:tcPr>
          <w:p w14:paraId="6F156047">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lang w:bidi="ar"/>
              </w:rPr>
              <w:t>满足</w:t>
            </w:r>
            <w:r>
              <w:rPr>
                <w:rFonts w:hint="eastAsia" w:ascii="宋体" w:hAnsi="宋体" w:eastAsia="宋体" w:cs="宋体"/>
                <w:szCs w:val="24"/>
                <w:highlight w:val="none"/>
              </w:rPr>
              <w:t>竞争性磋商文件</w:t>
            </w:r>
            <w:r>
              <w:rPr>
                <w:rFonts w:hint="eastAsia" w:ascii="宋体" w:hAnsi="宋体" w:eastAsia="宋体" w:cs="宋体"/>
                <w:szCs w:val="24"/>
                <w:highlight w:val="none"/>
                <w:lang w:bidi="ar"/>
              </w:rPr>
              <w:t>规定的投标有效期</w:t>
            </w:r>
          </w:p>
        </w:tc>
      </w:tr>
      <w:tr w14:paraId="016D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exact"/>
        </w:trPr>
        <w:tc>
          <w:tcPr>
            <w:tcW w:w="773" w:type="dxa"/>
            <w:vMerge w:val="continue"/>
          </w:tcPr>
          <w:p w14:paraId="5F5D5AB4">
            <w:pPr>
              <w:tabs>
                <w:tab w:val="left" w:pos="0"/>
              </w:tabs>
              <w:adjustRightInd w:val="0"/>
              <w:snapToGrid w:val="0"/>
              <w:spacing w:line="360" w:lineRule="auto"/>
              <w:rPr>
                <w:rFonts w:ascii="宋体" w:hAnsi="宋体" w:eastAsia="宋体" w:cs="宋体"/>
                <w:szCs w:val="24"/>
                <w:highlight w:val="none"/>
              </w:rPr>
            </w:pPr>
          </w:p>
        </w:tc>
        <w:tc>
          <w:tcPr>
            <w:tcW w:w="967" w:type="dxa"/>
            <w:vMerge w:val="continue"/>
          </w:tcPr>
          <w:p w14:paraId="3420D2A2">
            <w:pPr>
              <w:tabs>
                <w:tab w:val="left" w:pos="0"/>
              </w:tabs>
              <w:adjustRightInd w:val="0"/>
              <w:snapToGrid w:val="0"/>
              <w:spacing w:line="360" w:lineRule="auto"/>
              <w:rPr>
                <w:rFonts w:ascii="宋体" w:hAnsi="宋体" w:eastAsia="宋体" w:cs="宋体"/>
                <w:szCs w:val="24"/>
                <w:highlight w:val="none"/>
              </w:rPr>
            </w:pPr>
          </w:p>
        </w:tc>
        <w:tc>
          <w:tcPr>
            <w:tcW w:w="2265" w:type="dxa"/>
            <w:vAlign w:val="center"/>
          </w:tcPr>
          <w:p w14:paraId="353083EE">
            <w:pPr>
              <w:tabs>
                <w:tab w:val="left" w:pos="0"/>
              </w:tabs>
              <w:adjustRightInd w:val="0"/>
              <w:snapToGrid w:val="0"/>
              <w:jc w:val="center"/>
              <w:rPr>
                <w:rFonts w:ascii="宋体" w:hAnsi="宋体" w:eastAsia="宋体" w:cs="宋体"/>
                <w:szCs w:val="24"/>
                <w:highlight w:val="none"/>
              </w:rPr>
            </w:pPr>
            <w:r>
              <w:rPr>
                <w:rFonts w:hint="eastAsia" w:ascii="宋体" w:hAnsi="宋体" w:eastAsia="宋体" w:cs="宋体"/>
                <w:szCs w:val="24"/>
                <w:highlight w:val="none"/>
              </w:rPr>
              <w:t>磋商保证金</w:t>
            </w:r>
          </w:p>
        </w:tc>
        <w:tc>
          <w:tcPr>
            <w:tcW w:w="5174" w:type="dxa"/>
            <w:vAlign w:val="center"/>
          </w:tcPr>
          <w:p w14:paraId="3524D76B">
            <w:pPr>
              <w:tabs>
                <w:tab w:val="left" w:pos="0"/>
              </w:tabs>
              <w:adjustRightInd w:val="0"/>
              <w:snapToGrid w:val="0"/>
              <w:rPr>
                <w:rFonts w:ascii="宋体" w:hAnsi="宋体" w:eastAsia="宋体" w:cs="宋体"/>
                <w:szCs w:val="24"/>
                <w:highlight w:val="none"/>
              </w:rPr>
            </w:pPr>
            <w:r>
              <w:rPr>
                <w:rFonts w:hint="eastAsia" w:ascii="宋体" w:hAnsi="宋体" w:eastAsia="宋体" w:cs="宋体"/>
                <w:szCs w:val="24"/>
                <w:highlight w:val="none"/>
              </w:rPr>
              <w:t>提交形式及金额符合竞争性磋商文件要求</w:t>
            </w:r>
          </w:p>
        </w:tc>
      </w:tr>
    </w:tbl>
    <w:p w14:paraId="402EDE30">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2-5-3、最后报价</w:t>
      </w:r>
    </w:p>
    <w:p w14:paraId="51597729">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1、磋商小组要求实质性响应的供应商在规定时间内提交最后报价，最后报价是供应商响应文件的有效组成部分。</w:t>
      </w:r>
    </w:p>
    <w:p w14:paraId="3BA1B3C3">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2、最后报价在磋商现场线上提交，各供应商在提交最后报价时应加盖供应商红色公章。</w:t>
      </w:r>
    </w:p>
    <w:p w14:paraId="3C0D2F70">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2-5-4、响应文件的澄清：</w:t>
      </w:r>
    </w:p>
    <w:p w14:paraId="0C1D696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在评标期间,对于响应文件中含义不明确、同类问题表述不一致或者有明显文字和计算错误的内容，磋商小组应当以书面形式要求供应商作出必要的澄清、说明或者补正。供应商的澄清、说明或者补正应当采用书面形式，并加盖公章，或者由法定代表人或被授权人签字。供应商的澄清、说明或者补正不得超出响应文件的范围或者改变响应文件的实质性内容。</w:t>
      </w:r>
    </w:p>
    <w:p w14:paraId="0FBF6AB1">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（2）书写错误的评审标准：</w:t>
      </w:r>
    </w:p>
    <w:p w14:paraId="7893A066">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磋商小组在评标过程中，发现响应文件出现下列情况之一者，按以下原则修正：</w:t>
      </w:r>
    </w:p>
    <w:p w14:paraId="5F213946">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w:t>
      </w:r>
      <w:r>
        <w:rPr>
          <w:rFonts w:hint="eastAsia" w:ascii="宋体" w:hAnsi="宋体" w:eastAsia="宋体" w:cs="宋体"/>
          <w:color w:val="000000" w:themeColor="text1"/>
          <w:szCs w:val="24"/>
          <w:highlight w:val="none"/>
          <w14:textFill>
            <w14:solidFill>
              <w14:schemeClr w14:val="tx1"/>
            </w14:solidFill>
          </w14:textFill>
        </w:rPr>
        <w:t>响应文件有关内容与“第一次磋商报价表”不一致的，以“第一次磋商报价表”为准</w:t>
      </w:r>
      <w:r>
        <w:rPr>
          <w:rFonts w:hint="eastAsia" w:ascii="宋体" w:hAnsi="宋体" w:eastAsia="宋体" w:cs="宋体"/>
          <w:color w:val="000000" w:themeColor="text1"/>
          <w:highlight w:val="none"/>
          <w14:textFill>
            <w14:solidFill>
              <w14:schemeClr w14:val="tx1"/>
            </w14:solidFill>
          </w14:textFill>
        </w:rPr>
        <w:t>；</w:t>
      </w:r>
    </w:p>
    <w:p w14:paraId="6D23F049">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b、</w:t>
      </w:r>
      <w:r>
        <w:rPr>
          <w:rFonts w:hint="eastAsia" w:ascii="宋体" w:hAnsi="宋体" w:eastAsia="宋体" w:cs="宋体"/>
          <w:color w:val="000000" w:themeColor="text1"/>
          <w:szCs w:val="24"/>
          <w:highlight w:val="none"/>
          <w14:textFill>
            <w14:solidFill>
              <w14:schemeClr w14:val="tx1"/>
            </w14:solidFill>
          </w14:textFill>
        </w:rPr>
        <w:t>大写金额与小写金额不一致的，以大写金额为准</w:t>
      </w:r>
      <w:r>
        <w:rPr>
          <w:rFonts w:hint="eastAsia" w:ascii="宋体" w:hAnsi="宋体" w:eastAsia="宋体" w:cs="宋体"/>
          <w:color w:val="000000" w:themeColor="text1"/>
          <w:highlight w:val="none"/>
          <w14:textFill>
            <w14:solidFill>
              <w14:schemeClr w14:val="tx1"/>
            </w14:solidFill>
          </w14:textFill>
        </w:rPr>
        <w:t>；</w:t>
      </w:r>
    </w:p>
    <w:p w14:paraId="03B496C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c、单价金额小数点或者百分比有明显错位的，以“第一次磋商报价表”的总价为准，并修改单价；</w:t>
      </w:r>
    </w:p>
    <w:p w14:paraId="4341DB1C">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d、总价金额与按</w:t>
      </w:r>
      <w:r>
        <w:rPr>
          <w:rFonts w:hint="eastAsia" w:ascii="宋体" w:hAnsi="宋体" w:eastAsia="宋体" w:cs="宋体"/>
          <w:color w:val="000000" w:themeColor="text1"/>
          <w:szCs w:val="24"/>
          <w:highlight w:val="none"/>
          <w14:textFill>
            <w14:solidFill>
              <w14:schemeClr w14:val="tx1"/>
            </w14:solidFill>
          </w14:textFill>
        </w:rPr>
        <w:t>单价汇总金额不一致的，以单价乘以数量的计算结果为准</w:t>
      </w:r>
      <w:r>
        <w:rPr>
          <w:rFonts w:hint="eastAsia" w:ascii="宋体" w:hAnsi="宋体" w:eastAsia="宋体" w:cs="宋体"/>
          <w:color w:val="000000" w:themeColor="text1"/>
          <w:highlight w:val="none"/>
          <w14:textFill>
            <w14:solidFill>
              <w14:schemeClr w14:val="tx1"/>
            </w14:solidFill>
          </w14:textFill>
        </w:rPr>
        <w:t>；</w:t>
      </w:r>
    </w:p>
    <w:p w14:paraId="44635BF1">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e、</w:t>
      </w:r>
      <w:r>
        <w:rPr>
          <w:rFonts w:hint="eastAsia" w:ascii="宋体" w:hAnsi="宋体" w:eastAsia="宋体" w:cs="宋体"/>
          <w:color w:val="000000" w:themeColor="text1"/>
          <w:szCs w:val="24"/>
          <w:highlight w:val="none"/>
          <w14:textFill>
            <w14:solidFill>
              <w14:schemeClr w14:val="tx1"/>
            </w14:solidFill>
          </w14:textFill>
        </w:rPr>
        <w:t>响应文件图表与文字不符时，以文字为准</w:t>
      </w:r>
      <w:r>
        <w:rPr>
          <w:rFonts w:hint="eastAsia" w:ascii="宋体" w:hAnsi="宋体" w:eastAsia="宋体" w:cs="宋体"/>
          <w:color w:val="000000" w:themeColor="text1"/>
          <w:highlight w:val="none"/>
          <w14:textFill>
            <w14:solidFill>
              <w14:schemeClr w14:val="tx1"/>
            </w14:solidFill>
          </w14:textFill>
        </w:rPr>
        <w:t>；</w:t>
      </w:r>
    </w:p>
    <w:p w14:paraId="536EC71E">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f、响应文件正本与副本不符时，以正本为准；</w:t>
      </w:r>
    </w:p>
    <w:p w14:paraId="7AEDE79E">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g、对不同文字文本响应文件的解释发生异议的，以中文文本为准；</w:t>
      </w:r>
    </w:p>
    <w:p w14:paraId="02246CE9">
      <w:pPr>
        <w:overflowPunct w:val="0"/>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h、</w:t>
      </w:r>
      <w:r>
        <w:rPr>
          <w:rFonts w:hint="eastAsia" w:ascii="宋体" w:hAnsi="宋体" w:eastAsia="宋体" w:cs="宋体"/>
          <w:color w:val="000000" w:themeColor="text1"/>
          <w:szCs w:val="24"/>
          <w:highlight w:val="none"/>
          <w14:textFill>
            <w14:solidFill>
              <w14:schemeClr w14:val="tx1"/>
            </w14:solidFill>
          </w14:textFill>
        </w:rPr>
        <w:t>多处内容交叉不符时，以</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评审结果为准。</w:t>
      </w:r>
    </w:p>
    <w:p w14:paraId="41FE8EE3">
      <w:pPr>
        <w:spacing w:line="560" w:lineRule="exact"/>
        <w:ind w:firstLine="482" w:firstLineChars="200"/>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注：按上述方法修正的内容（其中，同时出现上述a至d两种以上不一致的，按上述规定的顺序修正），经供应商确认后产生约束力，供应商不确认的，其投标无效。</w:t>
      </w:r>
    </w:p>
    <w:p w14:paraId="31F2B1C3">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磋商小组认为供应商的报价明显低于其他通过符合性审查供应商的报价，有可能影响产品/服务质量或者不能诚信履约的，应当要求其在评标现场合理的时间内提供书面说明，必要时提交相关证明材料；供应商不能证明其报价合理性的，磋商小组应当将其作为无效投标处理。</w:t>
      </w:r>
    </w:p>
    <w:p w14:paraId="3BE8C35A">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2-5-5、评价（详评）：</w:t>
      </w:r>
    </w:p>
    <w:p w14:paraId="7D25084D">
      <w:pPr>
        <w:spacing w:line="560" w:lineRule="exact"/>
        <w:ind w:firstLine="465"/>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（1）磋商小组评审响应文件符合性只根据响应文件本身的内容，而不寻求其他外部证据。</w:t>
      </w:r>
    </w:p>
    <w:p w14:paraId="41BC6203">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评标采取逐项分步评审方式，每一步评审不符合者，不进入下一步评审，全部评审合格的供应商进行最后的综合评审和打分，按最后得分由高向低排序，推荐中标候选人。</w:t>
      </w:r>
    </w:p>
    <w:p w14:paraId="218733C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（3）其他需说明的情况：</w:t>
      </w:r>
    </w:p>
    <w:p w14:paraId="6CF33BF4">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a、对于响应文件中不构成实质性偏差的小的不正规、不一致或不规则，采购人可以接受，但这种接受不能损害或影响任何供应商的相对排序；</w:t>
      </w:r>
    </w:p>
    <w:p w14:paraId="5E7E692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b、最低报价不是中标的唯一条件；</w:t>
      </w:r>
    </w:p>
    <w:p w14:paraId="574990BC">
      <w:pPr>
        <w:overflowPunct w:val="0"/>
        <w:adjustRightInd w:val="0"/>
        <w:snapToGrid w:val="0"/>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c、如果投标实质上没有响应竞争性磋商文件的要求，其投标将被拒绝，供应商不得通过修正或撤销不合要求的偏离或保留从而使其投标成为实质上响应的投标；</w:t>
      </w:r>
    </w:p>
    <w:p w14:paraId="132DE8F9">
      <w:pPr>
        <w:overflowPunct w:val="0"/>
        <w:adjustRightInd w:val="0"/>
        <w:snapToGrid w:val="0"/>
        <w:spacing w:line="56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d、</w:t>
      </w:r>
      <w:r>
        <w:rPr>
          <w:rFonts w:hint="eastAsia" w:ascii="宋体" w:hAnsi="宋体" w:eastAsia="宋体" w:cs="宋体"/>
          <w:color w:val="000000" w:themeColor="text1"/>
          <w:szCs w:val="24"/>
          <w:highlight w:val="none"/>
          <w14:textFill>
            <w14:solidFill>
              <w14:schemeClr w14:val="tx1"/>
            </w14:solidFill>
          </w14:textFill>
        </w:rPr>
        <w:t>无论投标的结果如何，投标期间一切费用自理。</w:t>
      </w:r>
    </w:p>
    <w:p w14:paraId="0C8F2E3C">
      <w:pPr>
        <w:spacing w:line="560" w:lineRule="exact"/>
        <w:ind w:firstLine="482"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2-6、评分标准：</w:t>
      </w:r>
    </w:p>
    <w:tbl>
      <w:tblPr>
        <w:tblStyle w:val="37"/>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600"/>
        <w:gridCol w:w="776"/>
        <w:gridCol w:w="1061"/>
        <w:gridCol w:w="6175"/>
        <w:gridCol w:w="572"/>
      </w:tblGrid>
      <w:tr w14:paraId="38E9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tcBorders>
              <w:top w:val="single" w:color="auto" w:sz="4" w:space="0"/>
              <w:left w:val="single" w:color="auto" w:sz="4" w:space="0"/>
              <w:bottom w:val="single" w:color="auto" w:sz="4" w:space="0"/>
              <w:right w:val="single" w:color="auto" w:sz="4" w:space="0"/>
            </w:tcBorders>
            <w:noWrap w:val="0"/>
            <w:vAlign w:val="center"/>
          </w:tcPr>
          <w:p w14:paraId="5398EE31">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评标</w:t>
            </w:r>
          </w:p>
          <w:p w14:paraId="496E41D4">
            <w:pPr>
              <w:snapToGrid w:val="0"/>
              <w:spacing w:line="240" w:lineRule="auto"/>
              <w:jc w:val="center"/>
              <w:rPr>
                <w:rFonts w:hint="eastAsia" w:ascii="宋体" w:hAnsi="宋体" w:eastAsia="宋体" w:cs="宋体"/>
                <w:b/>
                <w:bCs/>
                <w:color w:val="000000"/>
                <w:kern w:val="0"/>
                <w:sz w:val="21"/>
                <w:szCs w:val="21"/>
                <w:highlight w:val="none"/>
              </w:rPr>
            </w:pPr>
            <w:r>
              <w:rPr>
                <w:rFonts w:hint="eastAsia" w:ascii="宋体" w:hAnsi="宋体" w:eastAsia="宋体" w:cs="宋体"/>
                <w:color w:val="000000"/>
                <w:sz w:val="21"/>
                <w:szCs w:val="21"/>
                <w:highlight w:val="none"/>
              </w:rPr>
              <w:t>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6727B38">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价格</w:t>
            </w:r>
          </w:p>
          <w:p w14:paraId="783F5154">
            <w:pPr>
              <w:snapToGrid w:val="0"/>
              <w:spacing w:line="240" w:lineRule="auto"/>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权值</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ED8C89A">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分值</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484E5CF6">
            <w:pPr>
              <w:snapToGrid w:val="0"/>
              <w:spacing w:line="240" w:lineRule="auto"/>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评审明细</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4BD51DCA">
            <w:pPr>
              <w:snapToGrid w:val="0"/>
              <w:spacing w:line="240" w:lineRule="auto"/>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评标原则与标准</w:t>
            </w:r>
          </w:p>
        </w:tc>
        <w:tc>
          <w:tcPr>
            <w:tcW w:w="572" w:type="dxa"/>
            <w:vMerge w:val="restart"/>
            <w:tcBorders>
              <w:top w:val="single" w:color="auto" w:sz="4" w:space="0"/>
              <w:left w:val="single" w:color="auto" w:sz="4" w:space="0"/>
              <w:bottom w:val="single" w:color="auto" w:sz="4" w:space="0"/>
              <w:right w:val="single" w:color="auto" w:sz="4" w:space="0"/>
            </w:tcBorders>
            <w:noWrap w:val="0"/>
            <w:vAlign w:val="center"/>
          </w:tcPr>
          <w:p w14:paraId="60CF1CDF">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w:t>
            </w:r>
          </w:p>
          <w:p w14:paraId="63493514">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据</w:t>
            </w:r>
          </w:p>
          <w:p w14:paraId="11005187">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磋</w:t>
            </w:r>
          </w:p>
          <w:p w14:paraId="5A7DEB19">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商</w:t>
            </w:r>
          </w:p>
          <w:p w14:paraId="0622B22E">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w:t>
            </w:r>
          </w:p>
          <w:p w14:paraId="35A4AB66">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应</w:t>
            </w:r>
          </w:p>
          <w:p w14:paraId="6343D789">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w:t>
            </w:r>
          </w:p>
          <w:p w14:paraId="54A886C7">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件</w:t>
            </w:r>
          </w:p>
          <w:p w14:paraId="66B18E76">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的</w:t>
            </w:r>
          </w:p>
          <w:p w14:paraId="0178EE99">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w:t>
            </w:r>
          </w:p>
          <w:p w14:paraId="27F17F91">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应</w:t>
            </w:r>
          </w:p>
          <w:p w14:paraId="47FB6DF9">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程  度</w:t>
            </w:r>
          </w:p>
          <w:p w14:paraId="24CCB97D">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p>
          <w:p w14:paraId="107A9CF4">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差</w:t>
            </w:r>
          </w:p>
          <w:p w14:paraId="5E085BF0">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别</w:t>
            </w:r>
          </w:p>
          <w:p w14:paraId="0934D8F9">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w:t>
            </w:r>
          </w:p>
          <w:p w14:paraId="1ECA8EAA">
            <w:pPr>
              <w:snapToGrid w:val="0"/>
              <w:spacing w:line="240" w:lineRule="auto"/>
              <w:jc w:val="center"/>
              <w:rPr>
                <w:rFonts w:hint="eastAsia" w:ascii="宋体" w:hAnsi="宋体" w:eastAsia="宋体" w:cs="宋体"/>
                <w:color w:val="000000"/>
                <w:sz w:val="21"/>
                <w:szCs w:val="21"/>
                <w:highlight w:val="yellow"/>
              </w:rPr>
            </w:pPr>
            <w:r>
              <w:rPr>
                <w:rFonts w:hint="eastAsia" w:ascii="宋体" w:hAnsi="宋体" w:eastAsia="宋体" w:cs="宋体"/>
                <w:color w:val="000000"/>
                <w:sz w:val="21"/>
                <w:szCs w:val="21"/>
                <w:highlight w:val="none"/>
              </w:rPr>
              <w:t>分</w:t>
            </w:r>
          </w:p>
        </w:tc>
      </w:tr>
      <w:tr w14:paraId="639ED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tcBorders>
              <w:top w:val="single" w:color="auto" w:sz="4" w:space="0"/>
              <w:left w:val="single" w:color="auto" w:sz="4" w:space="0"/>
              <w:bottom w:val="single" w:color="auto" w:sz="4" w:space="0"/>
              <w:right w:val="single" w:color="auto" w:sz="4" w:space="0"/>
            </w:tcBorders>
            <w:noWrap w:val="0"/>
            <w:vAlign w:val="center"/>
          </w:tcPr>
          <w:p w14:paraId="6BE2CA9C">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报价评审</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05909C4">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119CD62">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3A8C5354">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报价</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6DA3DB12">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照《中华人民共和国政府采购法》及《中华人民共和国政府采购法实施条例》的有关规定：价格分采用低价优先法计算，即满足竞争性磋商文件要求且最后报价最低的供应商的价格为磋商基准价，其价格分为满分。其他供应商的价格分统一按照下列公式计算：</w:t>
            </w:r>
          </w:p>
          <w:p w14:paraId="18F4398B">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磋商报价得分=（磋商基准价/最终磋商报价）×价格权值（即</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0%）×100</w:t>
            </w:r>
          </w:p>
          <w:p w14:paraId="5B343786">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b/>
                <w:bCs/>
                <w:color w:val="000000"/>
                <w:kern w:val="2"/>
                <w:sz w:val="21"/>
                <w:szCs w:val="21"/>
                <w:highlight w:val="none"/>
                <w:lang w:val="en-US" w:eastAsia="zh-CN" w:bidi="ar-SA"/>
              </w:rPr>
              <w:t>本项目专门面向中小企业采购，故不享受价格扣除优惠政策。</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0311E241">
            <w:pPr>
              <w:widowControl/>
              <w:snapToGrid w:val="0"/>
              <w:spacing w:line="240" w:lineRule="auto"/>
              <w:jc w:val="left"/>
              <w:rPr>
                <w:rFonts w:hint="eastAsia" w:ascii="宋体" w:hAnsi="宋体" w:eastAsia="宋体" w:cs="宋体"/>
                <w:color w:val="000000"/>
                <w:sz w:val="21"/>
                <w:szCs w:val="21"/>
                <w:highlight w:val="yellow"/>
              </w:rPr>
            </w:pPr>
          </w:p>
        </w:tc>
      </w:tr>
      <w:tr w14:paraId="3D6E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restart"/>
            <w:tcBorders>
              <w:top w:val="single" w:color="auto" w:sz="4" w:space="0"/>
              <w:left w:val="single" w:color="auto" w:sz="4" w:space="0"/>
              <w:bottom w:val="single" w:color="auto" w:sz="4" w:space="0"/>
              <w:right w:val="single" w:color="auto" w:sz="4" w:space="0"/>
            </w:tcBorders>
            <w:noWrap w:val="0"/>
            <w:vAlign w:val="center"/>
          </w:tcPr>
          <w:p w14:paraId="299F08D6">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响应方案</w:t>
            </w:r>
          </w:p>
          <w:p w14:paraId="6518427B">
            <w:pPr>
              <w:snapToGrid w:val="0"/>
              <w:spacing w:line="240" w:lineRule="auto"/>
              <w:rPr>
                <w:rFonts w:hint="eastAsia" w:ascii="宋体" w:hAnsi="宋体" w:eastAsia="宋体" w:cs="宋体"/>
                <w:color w:val="000000"/>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546BA47">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15</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4DD0CC9F">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15</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627C4A48">
            <w:pPr>
              <w:keepNext w:val="0"/>
              <w:pageBreakBefore w:val="0"/>
              <w:widowControl/>
              <w:tabs>
                <w:tab w:val="left" w:pos="547"/>
              </w:tabs>
              <w:wordWrap/>
              <w:topLinePunct w:val="0"/>
              <w:autoSpaceDE w:val="0"/>
              <w:autoSpaceDN w:val="0"/>
              <w:bidi w:val="0"/>
              <w:adjustRightInd w:val="0"/>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auto"/>
                <w:spacing w:val="-10"/>
                <w:sz w:val="21"/>
                <w:szCs w:val="21"/>
                <w:highlight w:val="none"/>
              </w:rPr>
              <w:t>总体服务方案概述</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61F07458">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3"/>
                <w:sz w:val="21"/>
                <w:szCs w:val="21"/>
                <w:highlight w:val="none"/>
                <w14:textFill>
                  <w14:solidFill>
                    <w14:schemeClr w14:val="tx1"/>
                  </w14:solidFill>
                </w14:textFill>
              </w:rPr>
              <w:t>供应商对本项目</w:t>
            </w:r>
            <w:r>
              <w:rPr>
                <w:rFonts w:hint="eastAsia" w:cs="宋体"/>
                <w:color w:val="000000" w:themeColor="text1"/>
                <w:spacing w:val="-3"/>
                <w:sz w:val="21"/>
                <w:szCs w:val="21"/>
                <w:highlight w:val="none"/>
                <w:lang w:val="en-US" w:eastAsia="zh-CN"/>
                <w14:textFill>
                  <w14:solidFill>
                    <w14:schemeClr w14:val="tx1"/>
                  </w14:solidFill>
                </w14:textFill>
              </w:rPr>
              <w:t>实施</w:t>
            </w:r>
            <w:r>
              <w:rPr>
                <w:rFonts w:hint="eastAsia" w:ascii="宋体" w:hAnsi="宋体" w:eastAsia="宋体" w:cs="宋体"/>
                <w:color w:val="000000" w:themeColor="text1"/>
                <w:spacing w:val="-3"/>
                <w:sz w:val="21"/>
                <w:szCs w:val="21"/>
                <w:highlight w:val="none"/>
                <w14:textFill>
                  <w14:solidFill>
                    <w14:schemeClr w14:val="tx1"/>
                  </w14:solidFill>
                </w14:textFill>
              </w:rPr>
              <w:t>阶段等相关服务工作内容熟悉，能够清楚了解政策要</w:t>
            </w:r>
            <w:r>
              <w:rPr>
                <w:rFonts w:hint="eastAsia" w:ascii="宋体" w:hAnsi="宋体" w:eastAsia="宋体" w:cs="宋体"/>
                <w:color w:val="000000" w:themeColor="text1"/>
                <w:sz w:val="21"/>
                <w:szCs w:val="21"/>
                <w:highlight w:val="none"/>
                <w14:textFill>
                  <w14:solidFill>
                    <w14:schemeClr w14:val="tx1"/>
                  </w14:solidFill>
                </w14:textFill>
              </w:rPr>
              <w:t>求和</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要求，内容包含：①对项目理解②关键技术问题③解决办法及应对措施</w:t>
            </w:r>
            <w:r>
              <w:rPr>
                <w:rFonts w:hint="eastAsia" w:ascii="宋体" w:hAnsi="宋体" w:eastAsia="宋体" w:cs="宋体"/>
                <w:color w:val="000000" w:themeColor="text1"/>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14:textFill>
                  <w14:solidFill>
                    <w14:schemeClr w14:val="tx1"/>
                  </w14:solidFill>
                </w14:textFill>
              </w:rPr>
              <w:t>根据项目具体情况制定详细、</w:t>
            </w:r>
            <w:r>
              <w:rPr>
                <w:rFonts w:hint="eastAsia" w:ascii="宋体" w:hAnsi="宋体" w:eastAsia="宋体" w:cs="宋体"/>
                <w:color w:val="000000" w:themeColor="text1"/>
                <w:spacing w:val="-1"/>
                <w:sz w:val="21"/>
                <w:szCs w:val="21"/>
                <w:highlight w:val="none"/>
                <w14:textFill>
                  <w14:solidFill>
                    <w14:schemeClr w14:val="tx1"/>
                  </w14:solidFill>
                </w14:textFill>
              </w:rPr>
              <w:t>针对性强的服务方案。</w:t>
            </w:r>
          </w:p>
          <w:p w14:paraId="0515E337">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1"/>
                <w:sz w:val="21"/>
                <w:szCs w:val="21"/>
                <w:highlight w:val="none"/>
                <w14:textFill>
                  <w14:solidFill>
                    <w14:schemeClr w14:val="tx1"/>
                  </w14:solidFill>
                </w14:textFill>
              </w:rPr>
              <w:t>总体方案科学合理、完整，可行性高，</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根据响应程度得</w:t>
            </w:r>
            <w:r>
              <w:rPr>
                <w:rFonts w:hint="eastAsia" w:ascii="宋体" w:hAnsi="宋体" w:eastAsia="宋体" w:cs="宋体"/>
                <w:color w:val="000000" w:themeColor="text1"/>
                <w:spacing w:val="-1"/>
                <w:sz w:val="21"/>
                <w:szCs w:val="21"/>
                <w:highlight w:val="none"/>
                <w14:textFill>
                  <w14:solidFill>
                    <w14:schemeClr w14:val="tx1"/>
                  </w14:solidFill>
                </w14:textFill>
              </w:rPr>
              <w:t>10</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1"/>
                <w:sz w:val="21"/>
                <w:szCs w:val="21"/>
                <w:highlight w:val="none"/>
                <w14:textFill>
                  <w14:solidFill>
                    <w14:schemeClr w14:val="tx1"/>
                  </w14:solidFill>
                </w14:textFill>
              </w:rPr>
              <w:t>-15分；</w:t>
            </w:r>
          </w:p>
          <w:p w14:paraId="2396311C">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1"/>
                <w:sz w:val="21"/>
                <w:szCs w:val="21"/>
                <w:highlight w:val="none"/>
                <w14:textFill>
                  <w14:solidFill>
                    <w14:schemeClr w14:val="tx1"/>
                  </w14:solidFill>
                </w14:textFill>
              </w:rPr>
              <w:t>总体方案完整性、合理性一般</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得</w:t>
            </w:r>
            <w:r>
              <w:rPr>
                <w:rFonts w:hint="eastAsia" w:ascii="宋体" w:hAnsi="宋体" w:eastAsia="宋体" w:cs="宋体"/>
                <w:color w:val="000000" w:themeColor="text1"/>
                <w:spacing w:val="-1"/>
                <w:sz w:val="21"/>
                <w:szCs w:val="21"/>
                <w:highlight w:val="none"/>
                <w14:textFill>
                  <w14:solidFill>
                    <w14:schemeClr w14:val="tx1"/>
                  </w14:solidFill>
                </w14:textFill>
              </w:rPr>
              <w:t>5</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1"/>
                <w:sz w:val="21"/>
                <w:szCs w:val="21"/>
                <w:highlight w:val="none"/>
                <w14:textFill>
                  <w14:solidFill>
                    <w14:schemeClr w14:val="tx1"/>
                  </w14:solidFill>
                </w14:textFill>
              </w:rPr>
              <w:t>-10分；</w:t>
            </w:r>
          </w:p>
          <w:p w14:paraId="3234AED9">
            <w:pPr>
              <w:keepNext w:val="0"/>
              <w:pageBreakBefore w:val="0"/>
              <w:widowControl/>
              <w:wordWrap/>
              <w:topLinePunct w:val="0"/>
              <w:bidi w:val="0"/>
              <w:adjustRightInd w:val="0"/>
              <w:snapToGrid w:val="0"/>
              <w:spacing w:line="24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pacing w:val="-1"/>
                <w:sz w:val="21"/>
                <w:szCs w:val="21"/>
                <w:highlight w:val="none"/>
                <w14:textFill>
                  <w14:solidFill>
                    <w14:schemeClr w14:val="tx1"/>
                  </w14:solidFill>
                </w14:textFill>
              </w:rPr>
              <w:t>总体方案不完整、缺乏合理性，</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得</w:t>
            </w:r>
            <w:r>
              <w:rPr>
                <w:rFonts w:hint="eastAsia" w:ascii="宋体" w:hAnsi="宋体" w:eastAsia="宋体" w:cs="宋体"/>
                <w:color w:val="000000" w:themeColor="text1"/>
                <w:spacing w:val="-1"/>
                <w:sz w:val="21"/>
                <w:szCs w:val="21"/>
                <w:highlight w:val="none"/>
                <w14:textFill>
                  <w14:solidFill>
                    <w14:schemeClr w14:val="tx1"/>
                  </w14:solidFill>
                </w14:textFill>
              </w:rPr>
              <w:t>0-5分。</w:t>
            </w:r>
            <w:r>
              <w:rPr>
                <w:rFonts w:hint="eastAsia" w:ascii="宋体" w:hAnsi="宋体" w:eastAsia="宋体" w:cs="宋体"/>
                <w:color w:val="000000" w:themeColor="text1"/>
                <w:spacing w:val="-10"/>
                <w:sz w:val="21"/>
                <w:szCs w:val="21"/>
                <w:highlight w:val="none"/>
                <w14:textFill>
                  <w14:solidFill>
                    <w14:schemeClr w14:val="tx1"/>
                  </w14:solidFill>
                </w14:textFill>
              </w:rPr>
              <w:t xml:space="preserve"> </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28B0A634">
            <w:pPr>
              <w:widowControl/>
              <w:snapToGrid w:val="0"/>
              <w:spacing w:line="240" w:lineRule="auto"/>
              <w:jc w:val="left"/>
              <w:rPr>
                <w:rFonts w:hint="eastAsia" w:ascii="宋体" w:hAnsi="宋体" w:eastAsia="宋体" w:cs="宋体"/>
                <w:color w:val="000000"/>
                <w:sz w:val="21"/>
                <w:szCs w:val="21"/>
                <w:highlight w:val="yellow"/>
              </w:rPr>
            </w:pPr>
          </w:p>
        </w:tc>
      </w:tr>
      <w:tr w14:paraId="52AD6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left w:val="single" w:color="auto" w:sz="4" w:space="0"/>
              <w:right w:val="single" w:color="auto" w:sz="4" w:space="0"/>
            </w:tcBorders>
            <w:noWrap w:val="0"/>
            <w:vAlign w:val="center"/>
          </w:tcPr>
          <w:p w14:paraId="5A1CB2A8">
            <w:pPr>
              <w:snapToGrid w:val="0"/>
              <w:spacing w:line="240" w:lineRule="auto"/>
              <w:rPr>
                <w:rFonts w:hint="eastAsia" w:ascii="宋体" w:hAnsi="宋体" w:eastAsia="宋体" w:cs="宋体"/>
                <w:color w:val="000000"/>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3A56DF6">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72319E7">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29158B73">
            <w:pPr>
              <w:pStyle w:val="147"/>
              <w:snapToGrid w:val="0"/>
              <w:jc w:val="center"/>
              <w:rPr>
                <w:rFonts w:hint="eastAsia" w:ascii="宋体" w:hAnsi="宋体" w:eastAsia="宋体" w:cs="宋体"/>
                <w:color w:val="auto"/>
                <w:spacing w:val="-10"/>
                <w:sz w:val="21"/>
                <w:szCs w:val="21"/>
                <w:highlight w:val="none"/>
              </w:rPr>
            </w:pPr>
            <w:r>
              <w:rPr>
                <w:rFonts w:hint="eastAsia" w:ascii="宋体" w:hAnsi="宋体" w:eastAsia="宋体" w:cs="宋体"/>
                <w:color w:val="000000"/>
                <w:kern w:val="2"/>
                <w:sz w:val="21"/>
                <w:szCs w:val="21"/>
                <w:highlight w:val="none"/>
                <w:lang w:val="en-US" w:eastAsia="zh-CN" w:bidi="ar-SA"/>
              </w:rPr>
              <w:t>设计方案</w:t>
            </w:r>
          </w:p>
        </w:tc>
        <w:tc>
          <w:tcPr>
            <w:tcW w:w="6175" w:type="dxa"/>
            <w:tcBorders>
              <w:top w:val="single" w:color="auto" w:sz="4" w:space="0"/>
              <w:left w:val="single" w:color="auto" w:sz="4" w:space="0"/>
              <w:bottom w:val="single" w:color="auto" w:sz="4" w:space="0"/>
              <w:right w:val="single" w:color="auto" w:sz="4" w:space="0"/>
            </w:tcBorders>
            <w:noWrap w:val="0"/>
            <w:vAlign w:val="top"/>
          </w:tcPr>
          <w:p w14:paraId="647E3B13">
            <w:pPr>
              <w:pStyle w:val="147"/>
              <w:snapToGrid w:val="0"/>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 xml:space="preserve">供应商提供针对本项目制定的设计方案。包括但不限于①项目需求分析；②体系架构；③功能模块介绍；④实现思路和关键技术； </w:t>
            </w:r>
          </w:p>
          <w:p w14:paraId="543CD28A">
            <w:pPr>
              <w:pStyle w:val="147"/>
              <w:snapToGrid w:val="0"/>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1.方案科学合理、完整，可行性高，根据响应程度得8.1-10分；</w:t>
            </w:r>
          </w:p>
          <w:p w14:paraId="7E7E94BC">
            <w:pPr>
              <w:pStyle w:val="147"/>
              <w:snapToGrid w:val="0"/>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2.方案完整性、合理性一般，得4.1-8分；</w:t>
            </w:r>
          </w:p>
          <w:p w14:paraId="4E248963">
            <w:pPr>
              <w:pStyle w:val="147"/>
              <w:snapToGrid w:val="0"/>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3.方案不完整、缺乏合理性，得0-4分。</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3F403AEF">
            <w:pPr>
              <w:widowControl/>
              <w:snapToGrid w:val="0"/>
              <w:spacing w:line="240" w:lineRule="auto"/>
              <w:jc w:val="left"/>
              <w:rPr>
                <w:rFonts w:hint="eastAsia" w:ascii="宋体" w:hAnsi="宋体" w:eastAsia="宋体" w:cs="宋体"/>
                <w:color w:val="000000"/>
                <w:sz w:val="21"/>
                <w:szCs w:val="21"/>
                <w:highlight w:val="yellow"/>
              </w:rPr>
            </w:pPr>
          </w:p>
        </w:tc>
      </w:tr>
      <w:tr w14:paraId="3EC1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7E998757">
            <w:pPr>
              <w:widowControl/>
              <w:snapToGrid w:val="0"/>
              <w:spacing w:line="240" w:lineRule="auto"/>
              <w:jc w:val="left"/>
              <w:rPr>
                <w:rFonts w:hint="eastAsia" w:ascii="宋体" w:hAnsi="宋体" w:eastAsia="宋体" w:cs="宋体"/>
                <w:color w:val="000000"/>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5C110BB">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D5794D6">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1A22862A">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实施方案</w:t>
            </w:r>
          </w:p>
          <w:p w14:paraId="55FF0541">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宋体" w:hAnsi="宋体" w:eastAsia="宋体" w:cs="宋体"/>
                <w:color w:val="000000"/>
                <w:sz w:val="21"/>
                <w:szCs w:val="21"/>
                <w:highlight w:val="none"/>
              </w:rPr>
            </w:pPr>
          </w:p>
        </w:tc>
        <w:tc>
          <w:tcPr>
            <w:tcW w:w="6175" w:type="dxa"/>
            <w:tcBorders>
              <w:top w:val="single" w:color="auto" w:sz="4" w:space="0"/>
              <w:left w:val="single" w:color="auto" w:sz="4" w:space="0"/>
              <w:bottom w:val="single" w:color="auto" w:sz="4" w:space="0"/>
              <w:right w:val="single" w:color="auto" w:sz="4" w:space="0"/>
            </w:tcBorders>
            <w:noWrap w:val="0"/>
            <w:vAlign w:val="center"/>
          </w:tcPr>
          <w:p w14:paraId="6CF25698">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eastAsia="zh-CN"/>
                <w14:textFill>
                  <w14:solidFill>
                    <w14:schemeClr w14:val="tx1"/>
                  </w14:solidFill>
                </w14:textFill>
              </w:rPr>
              <w:t>针对本项目提供实施方案，包括但不限于①具体实施计划安排；②现有</w:t>
            </w:r>
            <w:r>
              <w:rPr>
                <w:rFonts w:hint="eastAsia" w:cs="宋体"/>
                <w:color w:val="000000" w:themeColor="text1"/>
                <w:spacing w:val="-1"/>
                <w:sz w:val="21"/>
                <w:szCs w:val="21"/>
                <w:highlight w:val="none"/>
                <w:lang w:val="en-US" w:eastAsia="zh-CN"/>
                <w14:textFill>
                  <w14:solidFill>
                    <w14:schemeClr w14:val="tx1"/>
                  </w14:solidFill>
                </w14:textFill>
              </w:rPr>
              <w:t>设备</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对接方案，对后期兼容性、扩展性的考虑；③风险应对方案。</w:t>
            </w:r>
          </w:p>
          <w:p w14:paraId="25191143">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1"/>
                <w:sz w:val="21"/>
                <w:szCs w:val="21"/>
                <w:highlight w:val="none"/>
                <w14:textFill>
                  <w14:solidFill>
                    <w14:schemeClr w14:val="tx1"/>
                  </w14:solidFill>
                </w14:textFill>
              </w:rPr>
              <w:t>实施方案</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完整详细、结构清晰、针对性强</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根据响应程度得</w:t>
            </w:r>
            <w:r>
              <w:rPr>
                <w:rFonts w:hint="eastAsia" w:cs="宋体"/>
                <w:color w:val="000000" w:themeColor="text1"/>
                <w:spacing w:val="-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1"/>
                <w:sz w:val="21"/>
                <w:szCs w:val="21"/>
                <w:highlight w:val="none"/>
                <w14:textFill>
                  <w14:solidFill>
                    <w14:schemeClr w14:val="tx1"/>
                  </w14:solidFill>
                </w14:textFill>
              </w:rPr>
              <w:t>-</w:t>
            </w:r>
            <w:r>
              <w:rPr>
                <w:rFonts w:hint="eastAsia" w:cs="宋体"/>
                <w:color w:val="000000" w:themeColor="text1"/>
                <w:spacing w:val="-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pacing w:val="-1"/>
                <w:sz w:val="21"/>
                <w:szCs w:val="21"/>
                <w:highlight w:val="none"/>
                <w14:textFill>
                  <w14:solidFill>
                    <w14:schemeClr w14:val="tx1"/>
                  </w14:solidFill>
                </w14:textFill>
              </w:rPr>
              <w:t>分；</w:t>
            </w:r>
          </w:p>
          <w:p w14:paraId="3907007C">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pacing w:val="-1"/>
                <w:sz w:val="21"/>
                <w:szCs w:val="21"/>
                <w:highlight w:val="none"/>
                <w14:textFill>
                  <w14:solidFill>
                    <w14:schemeClr w14:val="tx1"/>
                  </w14:solidFill>
                </w14:textFill>
              </w:rPr>
              <w:t>实施方案编制完整性、</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结构清晰、针对性</w:t>
            </w:r>
            <w:r>
              <w:rPr>
                <w:rFonts w:hint="eastAsia" w:ascii="宋体" w:hAnsi="宋体" w:eastAsia="宋体" w:cs="宋体"/>
                <w:color w:val="000000" w:themeColor="text1"/>
                <w:spacing w:val="-1"/>
                <w:sz w:val="21"/>
                <w:szCs w:val="21"/>
                <w:highlight w:val="none"/>
                <w14:textFill>
                  <w14:solidFill>
                    <w14:schemeClr w14:val="tx1"/>
                  </w14:solidFill>
                </w14:textFill>
              </w:rPr>
              <w:t>一般</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得</w:t>
            </w:r>
            <w:r>
              <w:rPr>
                <w:rFonts w:hint="eastAsia" w:cs="宋体"/>
                <w:color w:val="000000" w:themeColor="text1"/>
                <w:spacing w:val="-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pacing w:val="-1"/>
                <w:sz w:val="21"/>
                <w:szCs w:val="21"/>
                <w:highlight w:val="none"/>
                <w14:textFill>
                  <w14:solidFill>
                    <w14:schemeClr w14:val="tx1"/>
                  </w14:solidFill>
                </w14:textFill>
              </w:rPr>
              <w:t>-</w:t>
            </w:r>
            <w:r>
              <w:rPr>
                <w:rFonts w:hint="eastAsia" w:cs="宋体"/>
                <w:color w:val="000000" w:themeColor="text1"/>
                <w:spacing w:val="-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pacing w:val="-1"/>
                <w:sz w:val="21"/>
                <w:szCs w:val="21"/>
                <w:highlight w:val="none"/>
                <w14:textFill>
                  <w14:solidFill>
                    <w14:schemeClr w14:val="tx1"/>
                  </w14:solidFill>
                </w14:textFill>
              </w:rPr>
              <w:t>分；</w:t>
            </w:r>
          </w:p>
          <w:p w14:paraId="02850099">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pacing w:val="-1"/>
                <w:sz w:val="21"/>
                <w:szCs w:val="21"/>
                <w:highlight w:val="none"/>
                <w14:textFill>
                  <w14:solidFill>
                    <w14:schemeClr w14:val="tx1"/>
                  </w14:solidFill>
                </w14:textFill>
              </w:rPr>
              <w:t>实施方案编制不完整、缺乏合理性</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、针对性</w:t>
            </w:r>
            <w:r>
              <w:rPr>
                <w:rFonts w:hint="eastAsia" w:ascii="宋体" w:hAnsi="宋体" w:eastAsia="宋体" w:cs="宋体"/>
                <w:color w:val="000000" w:themeColor="text1"/>
                <w:spacing w:val="-1"/>
                <w:sz w:val="21"/>
                <w:szCs w:val="21"/>
                <w:highlight w:val="none"/>
                <w14:textFill>
                  <w14:solidFill>
                    <w14:schemeClr w14:val="tx1"/>
                  </w14:solidFill>
                </w14:textFill>
              </w:rPr>
              <w:t>，</w:t>
            </w:r>
            <w:r>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t>得</w:t>
            </w:r>
            <w:r>
              <w:rPr>
                <w:rFonts w:hint="eastAsia" w:ascii="宋体" w:hAnsi="宋体" w:eastAsia="宋体" w:cs="宋体"/>
                <w:color w:val="000000" w:themeColor="text1"/>
                <w:spacing w:val="-1"/>
                <w:sz w:val="21"/>
                <w:szCs w:val="21"/>
                <w:highlight w:val="none"/>
                <w14:textFill>
                  <w14:solidFill>
                    <w14:schemeClr w14:val="tx1"/>
                  </w14:solidFill>
                </w14:textFill>
              </w:rPr>
              <w:t>0-</w:t>
            </w:r>
            <w:r>
              <w:rPr>
                <w:rFonts w:hint="eastAsia" w:cs="宋体"/>
                <w:color w:val="000000" w:themeColor="text1"/>
                <w:spacing w:val="-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pacing w:val="-1"/>
                <w:sz w:val="21"/>
                <w:szCs w:val="21"/>
                <w:highlight w:val="none"/>
                <w14:textFill>
                  <w14:solidFill>
                    <w14:schemeClr w14:val="tx1"/>
                  </w14:solidFill>
                </w14:textFill>
              </w:rPr>
              <w:t>分。</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03D65C94">
            <w:pPr>
              <w:widowControl/>
              <w:snapToGrid w:val="0"/>
              <w:spacing w:line="240" w:lineRule="auto"/>
              <w:jc w:val="left"/>
              <w:rPr>
                <w:rFonts w:hint="eastAsia" w:ascii="宋体" w:hAnsi="宋体" w:eastAsia="宋体" w:cs="宋体"/>
                <w:color w:val="000000"/>
                <w:sz w:val="21"/>
                <w:szCs w:val="21"/>
                <w:highlight w:val="yellow"/>
              </w:rPr>
            </w:pPr>
          </w:p>
        </w:tc>
      </w:tr>
      <w:tr w14:paraId="0DEE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2B8200D2">
            <w:pPr>
              <w:widowControl/>
              <w:snapToGrid w:val="0"/>
              <w:spacing w:line="240" w:lineRule="auto"/>
              <w:jc w:val="left"/>
              <w:rPr>
                <w:rFonts w:hint="eastAsia" w:ascii="宋体" w:hAnsi="宋体" w:eastAsia="宋体" w:cs="宋体"/>
                <w:color w:val="000000"/>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F2BE989">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40F9EBE9">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432FB811">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质量保证措施</w:t>
            </w:r>
          </w:p>
          <w:p w14:paraId="0F875473">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宋体" w:hAnsi="宋体" w:eastAsia="宋体" w:cs="宋体"/>
                <w:color w:val="000000"/>
                <w:sz w:val="21"/>
                <w:szCs w:val="21"/>
                <w:highlight w:val="none"/>
              </w:rPr>
            </w:pPr>
          </w:p>
        </w:tc>
        <w:tc>
          <w:tcPr>
            <w:tcW w:w="6175" w:type="dxa"/>
            <w:tcBorders>
              <w:top w:val="single" w:color="auto" w:sz="4" w:space="0"/>
              <w:left w:val="single" w:color="auto" w:sz="4" w:space="0"/>
              <w:bottom w:val="single" w:color="auto" w:sz="4" w:space="0"/>
              <w:right w:val="single" w:color="auto" w:sz="4" w:space="0"/>
            </w:tcBorders>
            <w:noWrap w:val="0"/>
            <w:vAlign w:val="center"/>
          </w:tcPr>
          <w:p w14:paraId="694A7946">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jc w:val="both"/>
              <w:textAlignment w:val="baseline"/>
              <w:rPr>
                <w:rFonts w:hint="eastAsia" w:ascii="宋体" w:hAnsi="宋体" w:eastAsia="宋体" w:cs="宋体"/>
                <w:color w:val="000000" w:themeColor="text1"/>
                <w:spacing w:val="-1"/>
                <w:sz w:val="21"/>
                <w:szCs w:val="21"/>
                <w:highlight w:val="none"/>
                <w:lang w:eastAsia="zh-CN"/>
                <w14:textFill>
                  <w14:solidFill>
                    <w14:schemeClr w14:val="tx1"/>
                  </w14:solidFill>
                </w14:textFill>
              </w:rPr>
            </w:pPr>
            <w:r>
              <w:rPr>
                <w:rFonts w:hint="eastAsia" w:ascii="宋体" w:hAnsi="宋体" w:eastAsia="宋体" w:cs="宋体"/>
                <w:color w:val="000000" w:themeColor="text1"/>
                <w:spacing w:val="-1"/>
                <w:sz w:val="21"/>
                <w:szCs w:val="21"/>
                <w:highlight w:val="none"/>
                <w14:textFill>
                  <w14:solidFill>
                    <w14:schemeClr w14:val="tx1"/>
                  </w14:solidFill>
                </w14:textFill>
              </w:rPr>
              <w:t>质量控制措施</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1"/>
                <w:sz w:val="21"/>
                <w:szCs w:val="21"/>
                <w:highlight w:val="none"/>
                <w14:textFill>
                  <w14:solidFill>
                    <w14:schemeClr w14:val="tx1"/>
                  </w14:solidFill>
                </w14:textFill>
              </w:rPr>
              <w:t>包含但不限于:①质量保证体系</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1"/>
                <w:sz w:val="21"/>
                <w:szCs w:val="21"/>
                <w:highlight w:val="none"/>
                <w14:textFill>
                  <w14:solidFill>
                    <w14:schemeClr w14:val="tx1"/>
                  </w14:solidFill>
                </w14:textFill>
              </w:rPr>
              <w:t>②质量保障方案</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1"/>
                <w:sz w:val="21"/>
                <w:szCs w:val="21"/>
                <w:highlight w:val="none"/>
                <w14:textFill>
                  <w14:solidFill>
                    <w14:schemeClr w14:val="tx1"/>
                  </w14:solidFill>
                </w14:textFill>
              </w:rPr>
              <w:t>③质量目标</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1"/>
                <w:sz w:val="21"/>
                <w:szCs w:val="21"/>
                <w:highlight w:val="none"/>
                <w14:textFill>
                  <w14:solidFill>
                    <w14:schemeClr w14:val="tx1"/>
                  </w14:solidFill>
                </w14:textFill>
              </w:rPr>
              <w:t>④质量控制措施等</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p>
          <w:p w14:paraId="44DB76ED">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1.措施</w:t>
            </w:r>
            <w:r>
              <w:rPr>
                <w:rFonts w:hint="eastAsia" w:ascii="宋体" w:hAnsi="宋体" w:eastAsia="宋体" w:cs="宋体"/>
                <w:color w:val="000000" w:themeColor="text1"/>
                <w:sz w:val="21"/>
                <w:szCs w:val="21"/>
                <w:highlight w:val="none"/>
                <w14:textFill>
                  <w14:solidFill>
                    <w14:schemeClr w14:val="tx1"/>
                  </w14:solidFill>
                </w14:textFill>
              </w:rPr>
              <w:t>考虑全面，措施合理有效，执行性强得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3.1-</w:t>
            </w:r>
            <w:r>
              <w:rPr>
                <w:rFonts w:hint="eastAsia"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分；</w:t>
            </w:r>
          </w:p>
          <w:p w14:paraId="60107358">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措施</w:t>
            </w:r>
            <w:r>
              <w:rPr>
                <w:rFonts w:hint="eastAsia" w:ascii="宋体" w:hAnsi="宋体" w:eastAsia="宋体" w:cs="宋体"/>
                <w:color w:val="000000" w:themeColor="text1"/>
                <w:sz w:val="21"/>
                <w:szCs w:val="21"/>
                <w:highlight w:val="none"/>
                <w14:textFill>
                  <w14:solidFill>
                    <w14:schemeClr w14:val="tx1"/>
                  </w14:solidFill>
                </w14:textFill>
              </w:rPr>
              <w:t>考虑基本完善，措施</w:t>
            </w:r>
            <w:r>
              <w:rPr>
                <w:rFonts w:hint="eastAsia" w:ascii="宋体" w:hAnsi="宋体" w:eastAsia="宋体" w:cs="宋体"/>
                <w:color w:val="000000" w:themeColor="text1"/>
                <w:sz w:val="21"/>
                <w:szCs w:val="21"/>
                <w:highlight w:val="none"/>
                <w:lang w:val="en-US" w:eastAsia="zh-CN"/>
                <w14:textFill>
                  <w14:solidFill>
                    <w14:schemeClr w14:val="tx1"/>
                  </w14:solidFill>
                </w14:textFill>
              </w:rPr>
              <w:t>基本</w:t>
            </w:r>
            <w:r>
              <w:rPr>
                <w:rFonts w:hint="eastAsia" w:ascii="宋体" w:hAnsi="宋体" w:eastAsia="宋体" w:cs="宋体"/>
                <w:color w:val="000000" w:themeColor="text1"/>
                <w:sz w:val="21"/>
                <w:szCs w:val="21"/>
                <w:highlight w:val="none"/>
                <w14:textFill>
                  <w14:solidFill>
                    <w14:schemeClr w14:val="tx1"/>
                  </w14:solidFill>
                </w14:textFill>
              </w:rPr>
              <w:t>有效，执行性</w:t>
            </w:r>
            <w:r>
              <w:rPr>
                <w:rFonts w:hint="eastAsia" w:ascii="宋体" w:hAnsi="宋体" w:eastAsia="宋体" w:cs="宋体"/>
                <w:color w:val="000000" w:themeColor="text1"/>
                <w:sz w:val="21"/>
                <w:szCs w:val="21"/>
                <w:highlight w:val="none"/>
                <w:lang w:val="en-US" w:eastAsia="zh-CN"/>
                <w14:textFill>
                  <w14:solidFill>
                    <w14:schemeClr w14:val="tx1"/>
                  </w14:solidFill>
                </w14:textFill>
              </w:rPr>
              <w:t>一般</w:t>
            </w:r>
            <w:r>
              <w:rPr>
                <w:rFonts w:hint="eastAsia" w:ascii="宋体" w:hAnsi="宋体" w:eastAsia="宋体" w:cs="宋体"/>
                <w:color w:val="000000" w:themeColor="text1"/>
                <w:sz w:val="21"/>
                <w:szCs w:val="21"/>
                <w:highlight w:val="none"/>
                <w14:textFill>
                  <w14:solidFill>
                    <w14:schemeClr w14:val="tx1"/>
                  </w14:solidFill>
                </w14:textFill>
              </w:rPr>
              <w:t>得</w:t>
            </w:r>
            <w:r>
              <w:rPr>
                <w:rFonts w:hint="eastAsia" w:ascii="宋体" w:hAnsi="宋体" w:eastAsia="宋体" w:cs="宋体"/>
                <w:color w:val="000000" w:themeColor="text1"/>
                <w:sz w:val="21"/>
                <w:szCs w:val="21"/>
                <w:highlight w:val="none"/>
                <w:lang w:val="en-US" w:eastAsia="zh-CN"/>
                <w14:textFill>
                  <w14:solidFill>
                    <w14:schemeClr w14:val="tx1"/>
                  </w14:solidFill>
                </w14:textFill>
              </w:rPr>
              <w:t>0-3</w:t>
            </w:r>
            <w:r>
              <w:rPr>
                <w:rFonts w:hint="eastAsia" w:ascii="宋体" w:hAnsi="宋体" w:eastAsia="宋体" w:cs="宋体"/>
                <w:color w:val="000000" w:themeColor="text1"/>
                <w:sz w:val="21"/>
                <w:szCs w:val="21"/>
                <w:highlight w:val="none"/>
                <w14:textFill>
                  <w14:solidFill>
                    <w14:schemeClr w14:val="tx1"/>
                  </w14:solidFill>
                </w14:textFill>
              </w:rPr>
              <w:t>分</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2E0ADBD9">
            <w:pPr>
              <w:widowControl/>
              <w:snapToGrid w:val="0"/>
              <w:spacing w:line="240" w:lineRule="auto"/>
              <w:jc w:val="left"/>
              <w:rPr>
                <w:rFonts w:hint="eastAsia" w:ascii="宋体" w:hAnsi="宋体" w:eastAsia="宋体" w:cs="宋体"/>
                <w:color w:val="000000"/>
                <w:sz w:val="21"/>
                <w:szCs w:val="21"/>
                <w:highlight w:val="yellow"/>
              </w:rPr>
            </w:pPr>
          </w:p>
        </w:tc>
      </w:tr>
      <w:tr w14:paraId="20C9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65A2ABF9">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D8B7FA0">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446C149B">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5834650A">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宋体" w:hAnsi="宋体" w:eastAsia="宋体" w:cs="宋体"/>
                <w:color w:val="auto"/>
                <w:spacing w:val="-4"/>
                <w:sz w:val="21"/>
                <w:szCs w:val="21"/>
              </w:rPr>
            </w:pPr>
            <w:r>
              <w:rPr>
                <w:rFonts w:hint="eastAsia" w:ascii="宋体" w:hAnsi="宋体" w:eastAsia="宋体" w:cs="宋体"/>
                <w:color w:val="auto"/>
                <w:spacing w:val="-2"/>
                <w:sz w:val="21"/>
                <w:szCs w:val="21"/>
              </w:rPr>
              <w:t>进度保障</w:t>
            </w:r>
            <w:r>
              <w:rPr>
                <w:rFonts w:hint="eastAsia" w:ascii="宋体" w:hAnsi="宋体" w:eastAsia="宋体" w:cs="宋体"/>
                <w:color w:val="auto"/>
                <w:spacing w:val="-4"/>
                <w:sz w:val="21"/>
                <w:szCs w:val="21"/>
              </w:rPr>
              <w:t>措施</w:t>
            </w:r>
          </w:p>
          <w:p w14:paraId="1454B1F1">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宋体" w:hAnsi="宋体" w:eastAsia="宋体" w:cs="宋体"/>
                <w:color w:val="000000"/>
                <w:sz w:val="21"/>
                <w:szCs w:val="21"/>
                <w:highlight w:val="yellow"/>
              </w:rPr>
            </w:pPr>
          </w:p>
        </w:tc>
        <w:tc>
          <w:tcPr>
            <w:tcW w:w="6175" w:type="dxa"/>
            <w:tcBorders>
              <w:top w:val="single" w:color="auto" w:sz="4" w:space="0"/>
              <w:left w:val="single" w:color="auto" w:sz="4" w:space="0"/>
              <w:bottom w:val="single" w:color="auto" w:sz="4" w:space="0"/>
              <w:right w:val="single" w:color="auto" w:sz="4" w:space="0"/>
            </w:tcBorders>
            <w:noWrap w:val="0"/>
            <w:vAlign w:val="center"/>
          </w:tcPr>
          <w:p w14:paraId="7F79ECFE">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jc w:val="both"/>
              <w:textAlignment w:val="baseline"/>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进度保障措施，</w:t>
            </w:r>
            <w:r>
              <w:rPr>
                <w:rFonts w:hint="eastAsia" w:ascii="宋体" w:hAnsi="宋体" w:eastAsia="宋体" w:cs="宋体"/>
                <w:color w:val="000000" w:themeColor="text1"/>
                <w:spacing w:val="-3"/>
                <w:sz w:val="21"/>
                <w:szCs w:val="21"/>
                <w14:textFill>
                  <w14:solidFill>
                    <w14:schemeClr w14:val="tx1"/>
                  </w14:solidFill>
                </w14:textFill>
              </w:rPr>
              <w:t>包含但不限于</w:t>
            </w:r>
            <w:r>
              <w:rPr>
                <w:rFonts w:hint="eastAsia" w:ascii="宋体" w:hAnsi="宋体" w:eastAsia="宋体" w:cs="宋体"/>
                <w:color w:val="000000" w:themeColor="text1"/>
                <w:sz w:val="21"/>
                <w:szCs w:val="21"/>
                <w14:textFill>
                  <w14:solidFill>
                    <w14:schemeClr w14:val="tx1"/>
                  </w14:solidFill>
                </w14:textFill>
              </w:rPr>
              <w:t>①供应商需根据项目服务期限、特点、工作内容等编制进度计划，进度计划需明确</w:t>
            </w:r>
            <w:r>
              <w:rPr>
                <w:rFonts w:hint="eastAsia" w:cs="宋体"/>
                <w:color w:val="000000" w:themeColor="text1"/>
                <w:sz w:val="21"/>
                <w:szCs w:val="21"/>
                <w:lang w:val="en-US" w:eastAsia="zh-CN"/>
                <w14:textFill>
                  <w14:solidFill>
                    <w14:schemeClr w14:val="tx1"/>
                  </w14:solidFill>
                </w14:textFill>
              </w:rPr>
              <w:t>实施本项目</w:t>
            </w:r>
            <w:r>
              <w:rPr>
                <w:rFonts w:hint="eastAsia" w:ascii="宋体" w:hAnsi="宋体" w:eastAsia="宋体" w:cs="宋体"/>
                <w:color w:val="000000" w:themeColor="text1"/>
                <w:sz w:val="21"/>
                <w:szCs w:val="21"/>
                <w14:textFill>
                  <w14:solidFill>
                    <w14:schemeClr w14:val="tx1"/>
                  </w14:solidFill>
                </w14:textFill>
              </w:rPr>
              <w:t>的关键节点时间；②项目进度保证措施及应急保障措施。</w:t>
            </w:r>
          </w:p>
          <w:p w14:paraId="578B956F">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jc w:val="both"/>
              <w:textAlignment w:val="baseline"/>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3"/>
                <w:sz w:val="21"/>
                <w:szCs w:val="21"/>
                <w:lang w:val="en-US" w:eastAsia="zh-CN"/>
                <w14:textFill>
                  <w14:solidFill>
                    <w14:schemeClr w14:val="tx1"/>
                  </w14:solidFill>
                </w14:textFill>
              </w:rPr>
              <w:t>1.措施</w:t>
            </w:r>
            <w:r>
              <w:rPr>
                <w:rFonts w:hint="eastAsia" w:ascii="宋体" w:hAnsi="宋体" w:eastAsia="宋体" w:cs="宋体"/>
                <w:color w:val="000000" w:themeColor="text1"/>
                <w:sz w:val="21"/>
                <w:szCs w:val="21"/>
                <w14:textFill>
                  <w14:solidFill>
                    <w14:schemeClr w14:val="tx1"/>
                  </w14:solidFill>
                </w14:textFill>
              </w:rPr>
              <w:t>考虑全面，措施合理有效，执行性强得</w:t>
            </w:r>
            <w:r>
              <w:rPr>
                <w:rFonts w:hint="eastAsia" w:ascii="宋体" w:hAnsi="宋体" w:eastAsia="宋体" w:cs="宋体"/>
                <w:color w:val="000000" w:themeColor="text1"/>
                <w:sz w:val="21"/>
                <w:szCs w:val="21"/>
                <w:lang w:val="en-US" w:eastAsia="zh-CN"/>
                <w14:textFill>
                  <w14:solidFill>
                    <w14:schemeClr w14:val="tx1"/>
                  </w14:solidFill>
                </w14:textFill>
              </w:rPr>
              <w:t>3.1-</w:t>
            </w:r>
            <w:r>
              <w:rPr>
                <w:rFonts w:hint="eastAsia"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分；</w:t>
            </w:r>
          </w:p>
          <w:p w14:paraId="69EA1BEB">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highlight w:val="yellow"/>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pacing w:val="-3"/>
                <w:sz w:val="21"/>
                <w:szCs w:val="21"/>
                <w:lang w:val="en-US" w:eastAsia="zh-CN"/>
                <w14:textFill>
                  <w14:solidFill>
                    <w14:schemeClr w14:val="tx1"/>
                  </w14:solidFill>
                </w14:textFill>
              </w:rPr>
              <w:t>措施</w:t>
            </w:r>
            <w:r>
              <w:rPr>
                <w:rFonts w:hint="eastAsia" w:ascii="宋体" w:hAnsi="宋体" w:eastAsia="宋体" w:cs="宋体"/>
                <w:color w:val="000000" w:themeColor="text1"/>
                <w:sz w:val="21"/>
                <w:szCs w:val="21"/>
                <w14:textFill>
                  <w14:solidFill>
                    <w14:schemeClr w14:val="tx1"/>
                  </w14:solidFill>
                </w14:textFill>
              </w:rPr>
              <w:t>考虑基本完善，措施</w:t>
            </w:r>
            <w:r>
              <w:rPr>
                <w:rFonts w:hint="eastAsia" w:ascii="宋体" w:hAnsi="宋体" w:eastAsia="宋体" w:cs="宋体"/>
                <w:color w:val="000000" w:themeColor="text1"/>
                <w:sz w:val="21"/>
                <w:szCs w:val="21"/>
                <w:lang w:val="en-US" w:eastAsia="zh-CN"/>
                <w14:textFill>
                  <w14:solidFill>
                    <w14:schemeClr w14:val="tx1"/>
                  </w14:solidFill>
                </w14:textFill>
              </w:rPr>
              <w:t>基本</w:t>
            </w:r>
            <w:r>
              <w:rPr>
                <w:rFonts w:hint="eastAsia" w:ascii="宋体" w:hAnsi="宋体" w:eastAsia="宋体" w:cs="宋体"/>
                <w:color w:val="000000" w:themeColor="text1"/>
                <w:sz w:val="21"/>
                <w:szCs w:val="21"/>
                <w14:textFill>
                  <w14:solidFill>
                    <w14:schemeClr w14:val="tx1"/>
                  </w14:solidFill>
                </w14:textFill>
              </w:rPr>
              <w:t>有效，执行性</w:t>
            </w:r>
            <w:r>
              <w:rPr>
                <w:rFonts w:hint="eastAsia" w:ascii="宋体" w:hAnsi="宋体" w:eastAsia="宋体" w:cs="宋体"/>
                <w:color w:val="000000" w:themeColor="text1"/>
                <w:sz w:val="21"/>
                <w:szCs w:val="21"/>
                <w:lang w:val="en-US" w:eastAsia="zh-CN"/>
                <w14:textFill>
                  <w14:solidFill>
                    <w14:schemeClr w14:val="tx1"/>
                  </w14:solidFill>
                </w14:textFill>
              </w:rPr>
              <w:t>一般</w:t>
            </w:r>
            <w:r>
              <w:rPr>
                <w:rFonts w:hint="eastAsia" w:ascii="宋体" w:hAnsi="宋体" w:eastAsia="宋体" w:cs="宋体"/>
                <w:color w:val="000000" w:themeColor="text1"/>
                <w:sz w:val="21"/>
                <w:szCs w:val="21"/>
                <w14:textFill>
                  <w14:solidFill>
                    <w14:schemeClr w14:val="tx1"/>
                  </w14:solidFill>
                </w14:textFill>
              </w:rPr>
              <w:t>得</w:t>
            </w:r>
            <w:r>
              <w:rPr>
                <w:rFonts w:hint="eastAsia" w:ascii="宋体" w:hAnsi="宋体" w:eastAsia="宋体" w:cs="宋体"/>
                <w:color w:val="000000" w:themeColor="text1"/>
                <w:sz w:val="21"/>
                <w:szCs w:val="21"/>
                <w:lang w:val="en-US" w:eastAsia="zh-CN"/>
                <w14:textFill>
                  <w14:solidFill>
                    <w14:schemeClr w14:val="tx1"/>
                  </w14:solidFill>
                </w14:textFill>
              </w:rPr>
              <w:t>0-3</w:t>
            </w:r>
            <w:r>
              <w:rPr>
                <w:rFonts w:hint="eastAsia" w:ascii="宋体" w:hAnsi="宋体" w:eastAsia="宋体" w:cs="宋体"/>
                <w:color w:val="000000" w:themeColor="text1"/>
                <w:sz w:val="21"/>
                <w:szCs w:val="21"/>
                <w14:textFill>
                  <w14:solidFill>
                    <w14:schemeClr w14:val="tx1"/>
                  </w14:solidFill>
                </w14:textFill>
              </w:rPr>
              <w:t>分</w:t>
            </w:r>
            <w:r>
              <w:rPr>
                <w:rFonts w:hint="eastAsia" w:ascii="宋体" w:hAnsi="宋体" w:eastAsia="宋体" w:cs="宋体"/>
                <w:color w:val="000000" w:themeColor="text1"/>
                <w:spacing w:val="-1"/>
                <w:sz w:val="21"/>
                <w:szCs w:val="21"/>
                <w:lang w:eastAsia="zh-CN"/>
                <w14:textFill>
                  <w14:solidFill>
                    <w14:schemeClr w14:val="tx1"/>
                  </w14:solidFill>
                </w14:textFill>
              </w:rPr>
              <w:t>。</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77E453FE">
            <w:pPr>
              <w:widowControl/>
              <w:snapToGrid w:val="0"/>
              <w:spacing w:line="240" w:lineRule="auto"/>
              <w:jc w:val="left"/>
              <w:rPr>
                <w:rFonts w:hint="eastAsia" w:ascii="宋体" w:hAnsi="宋体" w:eastAsia="宋体" w:cs="宋体"/>
                <w:color w:val="000000"/>
                <w:sz w:val="21"/>
                <w:szCs w:val="21"/>
                <w:highlight w:val="yellow"/>
              </w:rPr>
            </w:pPr>
          </w:p>
        </w:tc>
      </w:tr>
      <w:tr w14:paraId="1B5D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5EB7583E">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A3ED6EA">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B2D9178">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00C4C1CD">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auto"/>
                <w:spacing w:val="-7"/>
                <w:sz w:val="21"/>
                <w:szCs w:val="21"/>
              </w:rPr>
            </w:pPr>
            <w:r>
              <w:rPr>
                <w:rFonts w:hint="eastAsia" w:ascii="宋体" w:hAnsi="宋体" w:eastAsia="宋体" w:cs="宋体"/>
                <w:color w:val="auto"/>
                <w:spacing w:val="-2"/>
                <w:sz w:val="21"/>
                <w:szCs w:val="21"/>
                <w:highlight w:val="none"/>
              </w:rPr>
              <w:t>重难点分析</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353284C8">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供应商对本项目内容，重点难点理解深刻到位、分析全面，应对措施科学合理、有针对性、可实施性得3.1-</w:t>
            </w:r>
            <w:r>
              <w:rPr>
                <w:rFonts w:hint="eastAsia"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分；</w:t>
            </w:r>
          </w:p>
          <w:p w14:paraId="49BFCE2E">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重点难点分析基本全面，应对措施</w:t>
            </w:r>
            <w:r>
              <w:rPr>
                <w:rFonts w:hint="eastAsia" w:ascii="宋体" w:hAnsi="宋体" w:eastAsia="宋体" w:cs="宋体"/>
                <w:color w:val="000000" w:themeColor="text1"/>
                <w:sz w:val="21"/>
                <w:szCs w:val="21"/>
                <w:highlight w:val="none"/>
                <w:lang w:val="en-US" w:eastAsia="zh-CN"/>
                <w14:textFill>
                  <w14:solidFill>
                    <w14:schemeClr w14:val="tx1"/>
                  </w14:solidFill>
                </w14:textFill>
              </w:rPr>
              <w:t>基本</w:t>
            </w:r>
            <w:r>
              <w:rPr>
                <w:rFonts w:hint="eastAsia" w:ascii="宋体" w:hAnsi="宋体" w:eastAsia="宋体" w:cs="宋体"/>
                <w:color w:val="000000" w:themeColor="text1"/>
                <w:sz w:val="21"/>
                <w:szCs w:val="21"/>
                <w:highlight w:val="none"/>
                <w14:textFill>
                  <w14:solidFill>
                    <w14:schemeClr w14:val="tx1"/>
                  </w14:solidFill>
                </w14:textFill>
              </w:rPr>
              <w:t>合理，有一定可实施性得</w:t>
            </w:r>
            <w:r>
              <w:rPr>
                <w:rFonts w:hint="eastAsia" w:cs="宋体"/>
                <w:color w:val="000000" w:themeColor="text1"/>
                <w:sz w:val="21"/>
                <w:szCs w:val="21"/>
                <w:highlight w:val="none"/>
                <w:lang w:val="en-US" w:eastAsia="zh-CN"/>
                <w14:textFill>
                  <w14:solidFill>
                    <w14:schemeClr w14:val="tx1"/>
                  </w14:solidFill>
                </w14:textFill>
              </w:rPr>
              <w:t>0</w:t>
            </w:r>
            <w:r>
              <w:rPr>
                <w:rFonts w:hint="eastAsia" w:ascii="宋体" w:hAnsi="宋体" w:eastAsia="宋体" w:cs="宋体"/>
                <w:color w:val="000000" w:themeColor="text1"/>
                <w:sz w:val="21"/>
                <w:szCs w:val="21"/>
                <w:highlight w:val="none"/>
                <w14:textFill>
                  <w14:solidFill>
                    <w14:schemeClr w14:val="tx1"/>
                  </w14:solidFill>
                </w14:textFill>
              </w:rPr>
              <w:t>-3分。缺项不得分</w:t>
            </w:r>
            <w:r>
              <w:rPr>
                <w:rFonts w:hint="eastAsia" w:ascii="宋体" w:hAnsi="宋体" w:eastAsia="宋体" w:cs="宋体"/>
                <w:color w:val="000000" w:themeColor="text1"/>
                <w:sz w:val="21"/>
                <w:szCs w:val="21"/>
                <w:highlight w:val="none"/>
                <w:lang w:eastAsia="zh-CN"/>
                <w14:textFill>
                  <w14:solidFill>
                    <w14:schemeClr w14:val="tx1"/>
                  </w14:solidFill>
                </w14:textFill>
              </w:rPr>
              <w:t>。</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0FE37D8C">
            <w:pPr>
              <w:widowControl/>
              <w:snapToGrid w:val="0"/>
              <w:spacing w:line="240" w:lineRule="auto"/>
              <w:jc w:val="left"/>
              <w:rPr>
                <w:rFonts w:hint="eastAsia" w:ascii="宋体" w:hAnsi="宋体" w:eastAsia="宋体" w:cs="宋体"/>
                <w:color w:val="000000"/>
                <w:sz w:val="21"/>
                <w:szCs w:val="21"/>
                <w:highlight w:val="yellow"/>
              </w:rPr>
            </w:pPr>
          </w:p>
        </w:tc>
      </w:tr>
      <w:tr w14:paraId="7B10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08D0BC76">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A092BC5">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82D3E3B">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0216400A">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000000"/>
                <w:sz w:val="21"/>
                <w:szCs w:val="21"/>
                <w:highlight w:val="yellow"/>
              </w:rPr>
            </w:pPr>
            <w:r>
              <w:rPr>
                <w:rFonts w:hint="eastAsia" w:ascii="宋体" w:hAnsi="宋体" w:eastAsia="宋体" w:cs="宋体"/>
                <w:color w:val="auto"/>
                <w:spacing w:val="-2"/>
                <w:sz w:val="21"/>
                <w:szCs w:val="21"/>
              </w:rPr>
              <w:t>服务承诺</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220D21DF">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jc w:val="both"/>
              <w:textAlignment w:val="baseline"/>
              <w:rPr>
                <w:rFonts w:hint="eastAsia" w:ascii="宋体" w:hAnsi="宋体" w:eastAsia="宋体" w:cs="宋体"/>
                <w:color w:val="000000" w:themeColor="text1"/>
                <w:spacing w:val="-3"/>
                <w:sz w:val="21"/>
                <w:szCs w:val="21"/>
                <w14:textFill>
                  <w14:solidFill>
                    <w14:schemeClr w14:val="tx1"/>
                  </w14:solidFill>
                </w14:textFill>
              </w:rPr>
            </w:pPr>
            <w:r>
              <w:rPr>
                <w:rFonts w:hint="eastAsia" w:ascii="宋体" w:hAnsi="宋体" w:eastAsia="宋体" w:cs="宋体"/>
                <w:color w:val="000000" w:themeColor="text1"/>
                <w:spacing w:val="-3"/>
                <w:sz w:val="21"/>
                <w:szCs w:val="21"/>
                <w14:textFill>
                  <w14:solidFill>
                    <w14:schemeClr w14:val="tx1"/>
                  </w14:solidFill>
                </w14:textFill>
              </w:rPr>
              <w:t>满足</w:t>
            </w:r>
            <w:r>
              <w:rPr>
                <w:rFonts w:hint="eastAsia" w:ascii="宋体" w:hAnsi="宋体" w:eastAsia="宋体" w:cs="宋体"/>
                <w:color w:val="000000" w:themeColor="text1"/>
                <w:spacing w:val="-3"/>
                <w:sz w:val="21"/>
                <w:szCs w:val="21"/>
                <w:lang w:val="en-US" w:eastAsia="zh-CN"/>
                <w14:textFill>
                  <w14:solidFill>
                    <w14:schemeClr w14:val="tx1"/>
                  </w14:solidFill>
                </w14:textFill>
              </w:rPr>
              <w:t>竞争性</w:t>
            </w:r>
            <w:r>
              <w:rPr>
                <w:rFonts w:hint="eastAsia" w:ascii="宋体" w:hAnsi="宋体" w:eastAsia="宋体" w:cs="宋体"/>
                <w:color w:val="000000" w:themeColor="text1"/>
                <w:spacing w:val="-3"/>
                <w:sz w:val="21"/>
                <w:szCs w:val="21"/>
                <w14:textFill>
                  <w14:solidFill>
                    <w14:schemeClr w14:val="tx1"/>
                  </w14:solidFill>
                </w14:textFill>
              </w:rPr>
              <w:t>磋商文件采购要求和合同条款的要求，对交付时间内质量、人员到位情况、后期服务的响应时间及配合程度等做出实质性承诺（内容应当包含不能完全履行承诺时愿意接受相关处罚的相关承诺）。</w:t>
            </w:r>
          </w:p>
          <w:p w14:paraId="64CE546D">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jc w:val="both"/>
              <w:textAlignment w:val="baseline"/>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3"/>
                <w:sz w:val="21"/>
                <w:szCs w:val="21"/>
                <w:lang w:val="en-US" w:eastAsia="zh-CN"/>
                <w14:textFill>
                  <w14:solidFill>
                    <w14:schemeClr w14:val="tx1"/>
                  </w14:solidFill>
                </w14:textFill>
              </w:rPr>
              <w:t>1.承诺</w:t>
            </w:r>
            <w:r>
              <w:rPr>
                <w:rFonts w:hint="eastAsia" w:ascii="宋体" w:hAnsi="宋体" w:eastAsia="宋体" w:cs="宋体"/>
                <w:color w:val="000000" w:themeColor="text1"/>
                <w:sz w:val="21"/>
                <w:szCs w:val="21"/>
                <w14:textFill>
                  <w14:solidFill>
                    <w14:schemeClr w14:val="tx1"/>
                  </w14:solidFill>
                </w14:textFill>
              </w:rPr>
              <w:t>考虑全面，措施合理有效，执行性强得</w:t>
            </w:r>
            <w:r>
              <w:rPr>
                <w:rFonts w:hint="eastAsia" w:ascii="宋体" w:hAnsi="宋体" w:eastAsia="宋体" w:cs="宋体"/>
                <w:color w:val="000000" w:themeColor="text1"/>
                <w:sz w:val="21"/>
                <w:szCs w:val="21"/>
                <w:lang w:val="en-US" w:eastAsia="zh-CN"/>
                <w14:textFill>
                  <w14:solidFill>
                    <w14:schemeClr w14:val="tx1"/>
                  </w14:solidFill>
                </w14:textFill>
              </w:rPr>
              <w:t>3.1-</w:t>
            </w:r>
            <w:r>
              <w:rPr>
                <w:rFonts w:hint="eastAsia"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分；</w:t>
            </w:r>
          </w:p>
          <w:p w14:paraId="66CA4895">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highlight w:val="yellow"/>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pacing w:val="-3"/>
                <w:sz w:val="21"/>
                <w:szCs w:val="21"/>
                <w:lang w:val="en-US" w:eastAsia="zh-CN"/>
                <w14:textFill>
                  <w14:solidFill>
                    <w14:schemeClr w14:val="tx1"/>
                  </w14:solidFill>
                </w14:textFill>
              </w:rPr>
              <w:t>承诺</w:t>
            </w:r>
            <w:r>
              <w:rPr>
                <w:rFonts w:hint="eastAsia" w:ascii="宋体" w:hAnsi="宋体" w:eastAsia="宋体" w:cs="宋体"/>
                <w:color w:val="000000" w:themeColor="text1"/>
                <w:sz w:val="21"/>
                <w:szCs w:val="21"/>
                <w14:textFill>
                  <w14:solidFill>
                    <w14:schemeClr w14:val="tx1"/>
                  </w14:solidFill>
                </w14:textFill>
              </w:rPr>
              <w:t>考虑基本完善，措施</w:t>
            </w:r>
            <w:r>
              <w:rPr>
                <w:rFonts w:hint="eastAsia" w:ascii="宋体" w:hAnsi="宋体" w:eastAsia="宋体" w:cs="宋体"/>
                <w:color w:val="000000" w:themeColor="text1"/>
                <w:sz w:val="21"/>
                <w:szCs w:val="21"/>
                <w:lang w:val="en-US" w:eastAsia="zh-CN"/>
                <w14:textFill>
                  <w14:solidFill>
                    <w14:schemeClr w14:val="tx1"/>
                  </w14:solidFill>
                </w14:textFill>
              </w:rPr>
              <w:t>基本</w:t>
            </w:r>
            <w:r>
              <w:rPr>
                <w:rFonts w:hint="eastAsia" w:ascii="宋体" w:hAnsi="宋体" w:eastAsia="宋体" w:cs="宋体"/>
                <w:color w:val="000000" w:themeColor="text1"/>
                <w:sz w:val="21"/>
                <w:szCs w:val="21"/>
                <w14:textFill>
                  <w14:solidFill>
                    <w14:schemeClr w14:val="tx1"/>
                  </w14:solidFill>
                </w14:textFill>
              </w:rPr>
              <w:t>有效，执行性</w:t>
            </w:r>
            <w:r>
              <w:rPr>
                <w:rFonts w:hint="eastAsia" w:ascii="宋体" w:hAnsi="宋体" w:eastAsia="宋体" w:cs="宋体"/>
                <w:color w:val="000000" w:themeColor="text1"/>
                <w:sz w:val="21"/>
                <w:szCs w:val="21"/>
                <w:lang w:val="en-US" w:eastAsia="zh-CN"/>
                <w14:textFill>
                  <w14:solidFill>
                    <w14:schemeClr w14:val="tx1"/>
                  </w14:solidFill>
                </w14:textFill>
              </w:rPr>
              <w:t>一般</w:t>
            </w:r>
            <w:r>
              <w:rPr>
                <w:rFonts w:hint="eastAsia" w:ascii="宋体" w:hAnsi="宋体" w:eastAsia="宋体" w:cs="宋体"/>
                <w:color w:val="000000" w:themeColor="text1"/>
                <w:sz w:val="21"/>
                <w:szCs w:val="21"/>
                <w14:textFill>
                  <w14:solidFill>
                    <w14:schemeClr w14:val="tx1"/>
                  </w14:solidFill>
                </w14:textFill>
              </w:rPr>
              <w:t>得</w:t>
            </w:r>
            <w:r>
              <w:rPr>
                <w:rFonts w:hint="eastAsia" w:ascii="宋体" w:hAnsi="宋体" w:eastAsia="宋体" w:cs="宋体"/>
                <w:color w:val="000000" w:themeColor="text1"/>
                <w:sz w:val="21"/>
                <w:szCs w:val="21"/>
                <w:lang w:val="en-US" w:eastAsia="zh-CN"/>
                <w14:textFill>
                  <w14:solidFill>
                    <w14:schemeClr w14:val="tx1"/>
                  </w14:solidFill>
                </w14:textFill>
              </w:rPr>
              <w:t>0-3</w:t>
            </w:r>
            <w:r>
              <w:rPr>
                <w:rFonts w:hint="eastAsia" w:ascii="宋体" w:hAnsi="宋体" w:eastAsia="宋体" w:cs="宋体"/>
                <w:color w:val="000000" w:themeColor="text1"/>
                <w:sz w:val="21"/>
                <w:szCs w:val="21"/>
                <w14:textFill>
                  <w14:solidFill>
                    <w14:schemeClr w14:val="tx1"/>
                  </w14:solidFill>
                </w14:textFill>
              </w:rPr>
              <w:t>分</w:t>
            </w:r>
            <w:r>
              <w:rPr>
                <w:rFonts w:hint="eastAsia" w:ascii="宋体" w:hAnsi="宋体" w:eastAsia="宋体" w:cs="宋体"/>
                <w:color w:val="000000" w:themeColor="text1"/>
                <w:spacing w:val="-1"/>
                <w:sz w:val="21"/>
                <w:szCs w:val="21"/>
                <w:lang w:eastAsia="zh-CN"/>
                <w14:textFill>
                  <w14:solidFill>
                    <w14:schemeClr w14:val="tx1"/>
                  </w14:solidFill>
                </w14:textFill>
              </w:rPr>
              <w:t>。</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68ADC66A">
            <w:pPr>
              <w:widowControl/>
              <w:snapToGrid w:val="0"/>
              <w:spacing w:line="240" w:lineRule="auto"/>
              <w:jc w:val="left"/>
              <w:rPr>
                <w:rFonts w:hint="eastAsia" w:ascii="宋体" w:hAnsi="宋体" w:eastAsia="宋体" w:cs="宋体"/>
                <w:color w:val="000000"/>
                <w:sz w:val="21"/>
                <w:szCs w:val="21"/>
                <w:highlight w:val="yellow"/>
              </w:rPr>
            </w:pPr>
          </w:p>
        </w:tc>
      </w:tr>
      <w:tr w14:paraId="619F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52CC9BB4">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C146C6F">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2C6829AF">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5B4FBA91">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000000"/>
                <w:sz w:val="21"/>
                <w:szCs w:val="21"/>
                <w:highlight w:val="yellow"/>
              </w:rPr>
            </w:pPr>
            <w:r>
              <w:rPr>
                <w:rFonts w:hint="eastAsia" w:ascii="宋体" w:hAnsi="宋体" w:eastAsia="宋体" w:cs="宋体"/>
                <w:color w:val="auto"/>
                <w:spacing w:val="-2"/>
                <w:sz w:val="21"/>
                <w:szCs w:val="21"/>
              </w:rPr>
              <w:t>合理化建议</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5AAB541B">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pacing w:val="-3"/>
                <w:sz w:val="21"/>
                <w:szCs w:val="21"/>
                <w:lang w:eastAsia="zh-CN"/>
                <w14:textFill>
                  <w14:solidFill>
                    <w14:schemeClr w14:val="tx1"/>
                  </w14:solidFill>
                </w14:textFill>
              </w:rPr>
            </w:pPr>
            <w:r>
              <w:rPr>
                <w:rFonts w:hint="eastAsia" w:ascii="宋体" w:hAnsi="宋体" w:eastAsia="宋体" w:cs="宋体"/>
                <w:color w:val="000000" w:themeColor="text1"/>
                <w:spacing w:val="-3"/>
                <w:sz w:val="21"/>
                <w:szCs w:val="21"/>
                <w14:textFill>
                  <w14:solidFill>
                    <w14:schemeClr w14:val="tx1"/>
                  </w14:solidFill>
                </w14:textFill>
              </w:rPr>
              <w:t>根据本次</w:t>
            </w:r>
            <w:r>
              <w:rPr>
                <w:rFonts w:hint="eastAsia" w:ascii="宋体" w:hAnsi="宋体" w:eastAsia="宋体" w:cs="宋体"/>
                <w:color w:val="000000" w:themeColor="text1"/>
                <w:spacing w:val="-3"/>
                <w:sz w:val="21"/>
                <w:szCs w:val="21"/>
                <w:lang w:val="en-US" w:eastAsia="zh-CN"/>
                <w14:textFill>
                  <w14:solidFill>
                    <w14:schemeClr w14:val="tx1"/>
                  </w14:solidFill>
                </w14:textFill>
              </w:rPr>
              <w:t>采购</w:t>
            </w:r>
            <w:r>
              <w:rPr>
                <w:rFonts w:hint="eastAsia" w:ascii="宋体" w:hAnsi="宋体" w:eastAsia="宋体" w:cs="宋体"/>
                <w:color w:val="000000" w:themeColor="text1"/>
                <w:spacing w:val="-3"/>
                <w:sz w:val="21"/>
                <w:szCs w:val="21"/>
                <w14:textFill>
                  <w14:solidFill>
                    <w14:schemeClr w14:val="tx1"/>
                  </w14:solidFill>
                </w14:textFill>
              </w:rPr>
              <w:t>要求提供合理化建议</w:t>
            </w:r>
            <w:r>
              <w:rPr>
                <w:rFonts w:hint="eastAsia" w:ascii="宋体" w:hAnsi="宋体" w:eastAsia="宋体" w:cs="宋体"/>
                <w:color w:val="000000" w:themeColor="text1"/>
                <w:spacing w:val="-3"/>
                <w:sz w:val="21"/>
                <w:szCs w:val="21"/>
                <w:lang w:eastAsia="zh-CN"/>
                <w14:textFill>
                  <w14:solidFill>
                    <w14:schemeClr w14:val="tx1"/>
                  </w14:solidFill>
                </w14:textFill>
              </w:rPr>
              <w:t>。</w:t>
            </w:r>
          </w:p>
          <w:p w14:paraId="18192C99">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jc w:val="both"/>
              <w:textAlignment w:val="baseline"/>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3"/>
                <w:sz w:val="21"/>
                <w:szCs w:val="21"/>
                <w:lang w:val="en-US" w:eastAsia="zh-CN"/>
                <w14:textFill>
                  <w14:solidFill>
                    <w14:schemeClr w14:val="tx1"/>
                  </w14:solidFill>
                </w14:textFill>
              </w:rPr>
              <w:t>1.</w:t>
            </w:r>
            <w:r>
              <w:rPr>
                <w:rFonts w:hint="eastAsia" w:ascii="宋体" w:hAnsi="宋体" w:eastAsia="宋体" w:cs="宋体"/>
                <w:color w:val="000000" w:themeColor="text1"/>
                <w:spacing w:val="-3"/>
                <w:sz w:val="21"/>
                <w:szCs w:val="21"/>
                <w14:textFill>
                  <w14:solidFill>
                    <w14:schemeClr w14:val="tx1"/>
                  </w14:solidFill>
                </w14:textFill>
              </w:rPr>
              <w:t>合理化建议</w:t>
            </w:r>
            <w:r>
              <w:rPr>
                <w:rFonts w:hint="eastAsia" w:ascii="宋体" w:hAnsi="宋体" w:eastAsia="宋体" w:cs="宋体"/>
                <w:color w:val="000000" w:themeColor="text1"/>
                <w:sz w:val="21"/>
                <w:szCs w:val="21"/>
                <w14:textFill>
                  <w14:solidFill>
                    <w14:schemeClr w14:val="tx1"/>
                  </w14:solidFill>
                </w14:textFill>
              </w:rPr>
              <w:t>考虑全面，措施合理有效，执行性强得</w:t>
            </w:r>
            <w:r>
              <w:rPr>
                <w:rFonts w:hint="eastAsia" w:ascii="宋体" w:hAnsi="宋体" w:eastAsia="宋体" w:cs="宋体"/>
                <w:color w:val="000000" w:themeColor="text1"/>
                <w:sz w:val="21"/>
                <w:szCs w:val="21"/>
                <w:lang w:val="en-US" w:eastAsia="zh-CN"/>
                <w14:textFill>
                  <w14:solidFill>
                    <w14:schemeClr w14:val="tx1"/>
                  </w14:solidFill>
                </w14:textFill>
              </w:rPr>
              <w:t>3.1-</w:t>
            </w:r>
            <w:r>
              <w:rPr>
                <w:rFonts w:hint="eastAsia"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分；</w:t>
            </w:r>
          </w:p>
          <w:p w14:paraId="4111AC9C">
            <w:pPr>
              <w:pStyle w:val="145"/>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highlight w:val="yellow"/>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pacing w:val="-3"/>
                <w:sz w:val="21"/>
                <w:szCs w:val="21"/>
                <w14:textFill>
                  <w14:solidFill>
                    <w14:schemeClr w14:val="tx1"/>
                  </w14:solidFill>
                </w14:textFill>
              </w:rPr>
              <w:t>合理化建议</w:t>
            </w:r>
            <w:r>
              <w:rPr>
                <w:rFonts w:hint="eastAsia" w:ascii="宋体" w:hAnsi="宋体" w:eastAsia="宋体" w:cs="宋体"/>
                <w:color w:val="000000" w:themeColor="text1"/>
                <w:sz w:val="21"/>
                <w:szCs w:val="21"/>
                <w14:textFill>
                  <w14:solidFill>
                    <w14:schemeClr w14:val="tx1"/>
                  </w14:solidFill>
                </w14:textFill>
              </w:rPr>
              <w:t>考虑基本完善，措施</w:t>
            </w:r>
            <w:r>
              <w:rPr>
                <w:rFonts w:hint="eastAsia" w:ascii="宋体" w:hAnsi="宋体" w:eastAsia="宋体" w:cs="宋体"/>
                <w:color w:val="000000" w:themeColor="text1"/>
                <w:sz w:val="21"/>
                <w:szCs w:val="21"/>
                <w:lang w:val="en-US" w:eastAsia="zh-CN"/>
                <w14:textFill>
                  <w14:solidFill>
                    <w14:schemeClr w14:val="tx1"/>
                  </w14:solidFill>
                </w14:textFill>
              </w:rPr>
              <w:t>基本</w:t>
            </w:r>
            <w:r>
              <w:rPr>
                <w:rFonts w:hint="eastAsia" w:ascii="宋体" w:hAnsi="宋体" w:eastAsia="宋体" w:cs="宋体"/>
                <w:color w:val="000000" w:themeColor="text1"/>
                <w:sz w:val="21"/>
                <w:szCs w:val="21"/>
                <w14:textFill>
                  <w14:solidFill>
                    <w14:schemeClr w14:val="tx1"/>
                  </w14:solidFill>
                </w14:textFill>
              </w:rPr>
              <w:t>有效，执行性</w:t>
            </w:r>
            <w:r>
              <w:rPr>
                <w:rFonts w:hint="eastAsia" w:ascii="宋体" w:hAnsi="宋体" w:eastAsia="宋体" w:cs="宋体"/>
                <w:color w:val="000000" w:themeColor="text1"/>
                <w:sz w:val="21"/>
                <w:szCs w:val="21"/>
                <w:lang w:val="en-US" w:eastAsia="zh-CN"/>
                <w14:textFill>
                  <w14:solidFill>
                    <w14:schemeClr w14:val="tx1"/>
                  </w14:solidFill>
                </w14:textFill>
              </w:rPr>
              <w:t>一般</w:t>
            </w:r>
            <w:r>
              <w:rPr>
                <w:rFonts w:hint="eastAsia" w:ascii="宋体" w:hAnsi="宋体" w:eastAsia="宋体" w:cs="宋体"/>
                <w:color w:val="000000" w:themeColor="text1"/>
                <w:sz w:val="21"/>
                <w:szCs w:val="21"/>
                <w14:textFill>
                  <w14:solidFill>
                    <w14:schemeClr w14:val="tx1"/>
                  </w14:solidFill>
                </w14:textFill>
              </w:rPr>
              <w:t>得</w:t>
            </w:r>
            <w:r>
              <w:rPr>
                <w:rFonts w:hint="eastAsia" w:ascii="宋体" w:hAnsi="宋体" w:eastAsia="宋体" w:cs="宋体"/>
                <w:color w:val="000000" w:themeColor="text1"/>
                <w:sz w:val="21"/>
                <w:szCs w:val="21"/>
                <w:lang w:val="en-US" w:eastAsia="zh-CN"/>
                <w14:textFill>
                  <w14:solidFill>
                    <w14:schemeClr w14:val="tx1"/>
                  </w14:solidFill>
                </w14:textFill>
              </w:rPr>
              <w:t>0-3</w:t>
            </w:r>
            <w:r>
              <w:rPr>
                <w:rFonts w:hint="eastAsia" w:ascii="宋体" w:hAnsi="宋体" w:eastAsia="宋体" w:cs="宋体"/>
                <w:color w:val="000000" w:themeColor="text1"/>
                <w:sz w:val="21"/>
                <w:szCs w:val="21"/>
                <w14:textFill>
                  <w14:solidFill>
                    <w14:schemeClr w14:val="tx1"/>
                  </w14:solidFill>
                </w14:textFill>
              </w:rPr>
              <w:t>分</w:t>
            </w:r>
            <w:r>
              <w:rPr>
                <w:rFonts w:hint="eastAsia" w:ascii="宋体" w:hAnsi="宋体" w:eastAsia="宋体" w:cs="宋体"/>
                <w:color w:val="000000" w:themeColor="text1"/>
                <w:spacing w:val="-1"/>
                <w:sz w:val="21"/>
                <w:szCs w:val="21"/>
                <w:lang w:eastAsia="zh-CN"/>
                <w14:textFill>
                  <w14:solidFill>
                    <w14:schemeClr w14:val="tx1"/>
                  </w14:solidFill>
                </w14:textFill>
              </w:rPr>
              <w:t>。</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354E3E99">
            <w:pPr>
              <w:widowControl/>
              <w:snapToGrid w:val="0"/>
              <w:spacing w:line="240" w:lineRule="auto"/>
              <w:jc w:val="left"/>
              <w:rPr>
                <w:rFonts w:hint="eastAsia" w:ascii="宋体" w:hAnsi="宋体" w:eastAsia="宋体" w:cs="宋体"/>
                <w:color w:val="000000"/>
                <w:sz w:val="21"/>
                <w:szCs w:val="21"/>
                <w:highlight w:val="yellow"/>
              </w:rPr>
            </w:pPr>
          </w:p>
        </w:tc>
      </w:tr>
      <w:tr w14:paraId="15EA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4D290F37">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3D59F01">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val="en-US" w:eastAsia="zh-CN"/>
              </w:rPr>
              <w:t>10</w:t>
            </w:r>
            <w:r>
              <w:rPr>
                <w:rFonts w:hint="eastAsia" w:ascii="宋体" w:hAnsi="宋体" w:eastAsia="宋体" w:cs="宋体"/>
                <w:color w:val="auto"/>
                <w:spacing w:val="-2"/>
                <w:sz w:val="21"/>
                <w:szCs w:val="21"/>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47B8509C">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val="en-US" w:eastAsia="zh-CN"/>
              </w:rPr>
              <w:t>10</w:t>
            </w:r>
            <w:r>
              <w:rPr>
                <w:rFonts w:hint="eastAsia" w:ascii="宋体" w:hAnsi="宋体" w:eastAsia="宋体" w:cs="宋体"/>
                <w:color w:val="auto"/>
                <w:spacing w:val="-2"/>
                <w:sz w:val="21"/>
                <w:szCs w:val="21"/>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2C6D5054">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售后服务</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5ACDB3EF">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售后服务承诺：供应商针对本项目提供售后服务承诺和保障承诺。内容包括但不限于①售后服务承诺和服务范围②售后服务流程制度和措施③售后响应时间④退换货方案⑤售后服务团队人员配置⑥备品备件供应保障措施，方案完善、可操作性强计5.1-10.0分，方案较完善，可操作性一般计0-5.0分</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2515310F">
            <w:pPr>
              <w:widowControl/>
              <w:snapToGrid w:val="0"/>
              <w:spacing w:line="240" w:lineRule="auto"/>
              <w:jc w:val="left"/>
              <w:rPr>
                <w:rFonts w:hint="eastAsia" w:ascii="宋体" w:hAnsi="宋体" w:eastAsia="宋体" w:cs="宋体"/>
                <w:color w:val="000000"/>
                <w:sz w:val="21"/>
                <w:szCs w:val="21"/>
                <w:highlight w:val="yellow"/>
              </w:rPr>
            </w:pPr>
          </w:p>
        </w:tc>
      </w:tr>
      <w:tr w14:paraId="7D920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7573FF22">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325D25F">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B982D96">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58A1A331">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宋体" w:hAnsi="宋体" w:eastAsia="宋体" w:cs="宋体"/>
                <w:color w:val="000000"/>
                <w:sz w:val="21"/>
                <w:szCs w:val="21"/>
                <w:highlight w:val="yellow"/>
              </w:rPr>
            </w:pPr>
            <w:r>
              <w:rPr>
                <w:rFonts w:hint="eastAsia" w:ascii="宋体" w:hAnsi="宋体" w:eastAsia="宋体" w:cs="宋体"/>
                <w:color w:val="auto"/>
                <w:sz w:val="21"/>
                <w:szCs w:val="21"/>
              </w:rPr>
              <w:t>保密措施</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6244C268">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针对本项目数据及成果的信息保密出具整体方案及对应措施</w:t>
            </w:r>
            <w:r>
              <w:rPr>
                <w:rFonts w:hint="eastAsia" w:ascii="宋体" w:hAnsi="宋体" w:eastAsia="宋体" w:cs="宋体"/>
                <w:color w:val="000000" w:themeColor="text1"/>
                <w:sz w:val="21"/>
                <w:szCs w:val="21"/>
                <w:lang w:eastAsia="zh-CN"/>
                <w14:textFill>
                  <w14:solidFill>
                    <w14:schemeClr w14:val="tx1"/>
                  </w14:solidFill>
                </w14:textFill>
              </w:rPr>
              <w:t>。</w:t>
            </w:r>
          </w:p>
          <w:p w14:paraId="4EC2C78F">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措施</w:t>
            </w:r>
            <w:r>
              <w:rPr>
                <w:rFonts w:hint="eastAsia" w:ascii="宋体" w:hAnsi="宋体" w:eastAsia="宋体" w:cs="宋体"/>
                <w:color w:val="000000" w:themeColor="text1"/>
                <w:sz w:val="21"/>
                <w:szCs w:val="21"/>
                <w14:textFill>
                  <w14:solidFill>
                    <w14:schemeClr w14:val="tx1"/>
                  </w14:solidFill>
                </w14:textFill>
              </w:rPr>
              <w:t>考虑全面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合理有效，执行性强得</w:t>
            </w:r>
            <w:r>
              <w:rPr>
                <w:rFonts w:hint="eastAsia"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分；</w:t>
            </w:r>
          </w:p>
          <w:p w14:paraId="3B155D44">
            <w:pPr>
              <w:pStyle w:val="14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both"/>
              <w:textAlignment w:val="baseline"/>
              <w:rPr>
                <w:rFonts w:hint="eastAsia" w:ascii="宋体" w:hAnsi="宋体" w:eastAsia="宋体" w:cs="宋体"/>
                <w:color w:val="000000" w:themeColor="text1"/>
                <w:sz w:val="21"/>
                <w:szCs w:val="21"/>
                <w:highlight w:val="yellow"/>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措施</w:t>
            </w:r>
            <w:r>
              <w:rPr>
                <w:rFonts w:hint="eastAsia" w:ascii="宋体" w:hAnsi="宋体" w:eastAsia="宋体" w:cs="宋体"/>
                <w:color w:val="000000" w:themeColor="text1"/>
                <w:sz w:val="21"/>
                <w:szCs w:val="21"/>
                <w14:textFill>
                  <w14:solidFill>
                    <w14:schemeClr w14:val="tx1"/>
                  </w14:solidFill>
                </w14:textFill>
              </w:rPr>
              <w:t>考虑基本完善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基本</w:t>
            </w:r>
            <w:r>
              <w:rPr>
                <w:rFonts w:hint="eastAsia" w:ascii="宋体" w:hAnsi="宋体" w:eastAsia="宋体" w:cs="宋体"/>
                <w:color w:val="000000" w:themeColor="text1"/>
                <w:sz w:val="21"/>
                <w:szCs w:val="21"/>
                <w14:textFill>
                  <w14:solidFill>
                    <w14:schemeClr w14:val="tx1"/>
                  </w14:solidFill>
                </w14:textFill>
              </w:rPr>
              <w:t>有效，执行性</w:t>
            </w:r>
            <w:r>
              <w:rPr>
                <w:rFonts w:hint="eastAsia" w:ascii="宋体" w:hAnsi="宋体" w:eastAsia="宋体" w:cs="宋体"/>
                <w:color w:val="000000" w:themeColor="text1"/>
                <w:sz w:val="21"/>
                <w:szCs w:val="21"/>
                <w:lang w:val="en-US" w:eastAsia="zh-CN"/>
                <w14:textFill>
                  <w14:solidFill>
                    <w14:schemeClr w14:val="tx1"/>
                  </w14:solidFill>
                </w14:textFill>
              </w:rPr>
              <w:t>一般</w:t>
            </w:r>
            <w:r>
              <w:rPr>
                <w:rFonts w:hint="eastAsia" w:ascii="宋体" w:hAnsi="宋体" w:eastAsia="宋体" w:cs="宋体"/>
                <w:color w:val="000000" w:themeColor="text1"/>
                <w:sz w:val="21"/>
                <w:szCs w:val="21"/>
                <w14:textFill>
                  <w14:solidFill>
                    <w14:schemeClr w14:val="tx1"/>
                  </w14:solidFill>
                </w14:textFill>
              </w:rPr>
              <w:t>得</w:t>
            </w:r>
            <w:r>
              <w:rPr>
                <w:rFonts w:hint="eastAsia" w:ascii="宋体" w:hAnsi="宋体" w:eastAsia="宋体" w:cs="宋体"/>
                <w:color w:val="000000" w:themeColor="text1"/>
                <w:sz w:val="21"/>
                <w:szCs w:val="21"/>
                <w:lang w:val="en-US" w:eastAsia="zh-CN"/>
                <w14:textFill>
                  <w14:solidFill>
                    <w14:schemeClr w14:val="tx1"/>
                  </w14:solidFill>
                </w14:textFill>
              </w:rPr>
              <w:t>0-</w:t>
            </w:r>
            <w:r>
              <w:rPr>
                <w:rFonts w:hint="eastAsia"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分</w:t>
            </w:r>
            <w:r>
              <w:rPr>
                <w:rFonts w:hint="eastAsia" w:ascii="宋体" w:hAnsi="宋体" w:eastAsia="宋体" w:cs="宋体"/>
                <w:color w:val="000000" w:themeColor="text1"/>
                <w:spacing w:val="-1"/>
                <w:sz w:val="21"/>
                <w:szCs w:val="21"/>
                <w:lang w:eastAsia="zh-CN"/>
                <w14:textFill>
                  <w14:solidFill>
                    <w14:schemeClr w14:val="tx1"/>
                  </w14:solidFill>
                </w14:textFill>
              </w:rPr>
              <w:t>。</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2B6C37FD">
            <w:pPr>
              <w:widowControl/>
              <w:snapToGrid w:val="0"/>
              <w:spacing w:line="240" w:lineRule="auto"/>
              <w:jc w:val="left"/>
              <w:rPr>
                <w:rFonts w:hint="eastAsia" w:ascii="宋体" w:hAnsi="宋体" w:eastAsia="宋体" w:cs="宋体"/>
                <w:color w:val="000000"/>
                <w:sz w:val="21"/>
                <w:szCs w:val="21"/>
                <w:highlight w:val="yellow"/>
              </w:rPr>
            </w:pPr>
          </w:p>
        </w:tc>
      </w:tr>
      <w:tr w14:paraId="5AAE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77F53430">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6D7ECADB">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EBC1784">
            <w:pPr>
              <w:snapToGrid w:val="0"/>
              <w:spacing w:line="24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1EDD3353">
            <w:pPr>
              <w:pStyle w:val="80"/>
              <w:keepNext w:val="0"/>
              <w:keepLines/>
              <w:pageBreakBefore w:val="0"/>
              <w:widowControl/>
              <w:kinsoku w:val="0"/>
              <w:wordWrap/>
              <w:overflowPunct w:val="0"/>
              <w:topLinePunct w:val="0"/>
              <w:autoSpaceDE/>
              <w:autoSpaceDN/>
              <w:bidi w:val="0"/>
              <w:adjustRightInd/>
              <w:snapToGrid w:val="0"/>
              <w:spacing w:beforeAutospacing="0" w:afterAutospacing="0" w:line="240" w:lineRule="auto"/>
              <w:ind w:left="0" w:leftChars="0" w:right="0" w:rightChars="0" w:firstLine="0" w:firstLine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auto"/>
                <w:kern w:val="2"/>
                <w:sz w:val="21"/>
                <w:szCs w:val="21"/>
                <w:highlight w:val="none"/>
                <w:lang w:val="en-US" w:eastAsia="zh-CN" w:bidi="ar-SA"/>
              </w:rPr>
              <w:t>项目组人员</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4AB50DC2">
            <w:pPr>
              <w:pStyle w:val="80"/>
              <w:keepNext w:val="0"/>
              <w:keepLines/>
              <w:pageBreakBefore w:val="0"/>
              <w:widowControl/>
              <w:kinsoku w:val="0"/>
              <w:wordWrap/>
              <w:overflowPunct w:val="0"/>
              <w:topLinePunct w:val="0"/>
              <w:autoSpaceDE/>
              <w:autoSpaceDN/>
              <w:bidi w:val="0"/>
              <w:adjustRightInd/>
              <w:snapToGrid w:val="0"/>
              <w:spacing w:beforeAutospacing="0" w:afterAutospacing="0" w:line="240" w:lineRule="auto"/>
              <w:ind w:left="0" w:leftChars="0" w:right="0" w:rightChars="0" w:firstLine="0" w:firstLineChars="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提供项目实施团队成员名单，人员数量、</w:t>
            </w:r>
            <w:r>
              <w:rPr>
                <w:rFonts w:hint="eastAsia" w:ascii="宋体" w:hAnsi="宋体" w:eastAsia="宋体" w:cs="宋体"/>
                <w:color w:val="000000" w:themeColor="text1"/>
                <w:sz w:val="21"/>
                <w:szCs w:val="21"/>
                <w:highlight w:val="none"/>
                <w:lang w:val="en-US" w:eastAsia="zh-CN"/>
                <w14:textFill>
                  <w14:solidFill>
                    <w14:schemeClr w14:val="tx1"/>
                  </w14:solidFill>
                </w14:textFill>
              </w:rPr>
              <w:t>专业</w:t>
            </w:r>
            <w:r>
              <w:rPr>
                <w:rFonts w:hint="eastAsia" w:ascii="宋体" w:hAnsi="宋体" w:eastAsia="宋体" w:cs="宋体"/>
                <w:color w:val="000000" w:themeColor="text1"/>
                <w:sz w:val="21"/>
                <w:szCs w:val="21"/>
                <w:highlight w:val="none"/>
                <w14:textFill>
                  <w14:solidFill>
                    <w14:schemeClr w14:val="tx1"/>
                  </w14:solidFill>
                </w14:textFill>
              </w:rPr>
              <w:t>配备、职责划分均阐述全面详细，且组织机构设置科学、岗位配备齐全、职责划分合理明确，由评标委员会横向对比，差别赋分得</w:t>
            </w: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z w:val="21"/>
                <w:szCs w:val="21"/>
                <w:highlight w:val="none"/>
                <w14:textFill>
                  <w14:solidFill>
                    <w14:schemeClr w14:val="tx1"/>
                  </w14:solidFill>
                </w14:textFill>
              </w:rPr>
              <w:t>分；</w:t>
            </w:r>
          </w:p>
          <w:p w14:paraId="6CFDEE99">
            <w:pPr>
              <w:pStyle w:val="80"/>
              <w:keepNext w:val="0"/>
              <w:keepLines/>
              <w:pageBreakBefore w:val="0"/>
              <w:widowControl/>
              <w:kinsoku w:val="0"/>
              <w:wordWrap/>
              <w:overflowPunct w:val="0"/>
              <w:topLinePunct w:val="0"/>
              <w:autoSpaceDE/>
              <w:autoSpaceDN/>
              <w:bidi w:val="0"/>
              <w:adjustRightInd/>
              <w:snapToGrid w:val="0"/>
              <w:spacing w:beforeAutospacing="0" w:afterAutospacing="0" w:line="240" w:lineRule="auto"/>
              <w:ind w:left="0" w:leftChars="0" w:right="0" w:rightChars="0" w:firstLine="0" w:firstLineChars="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人员数量、岗位配备、职责划分均阐述简短，组织机构设置、岗位配备、职责划分较为合理，由评标委员会横向对比，差别赋分得</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分；</w:t>
            </w:r>
          </w:p>
          <w:p w14:paraId="41CE62F7">
            <w:pPr>
              <w:pStyle w:val="80"/>
              <w:keepNext w:val="0"/>
              <w:keepLines/>
              <w:pageBreakBefore w:val="0"/>
              <w:widowControl/>
              <w:kinsoku w:val="0"/>
              <w:wordWrap/>
              <w:overflowPunct w:val="0"/>
              <w:topLinePunct w:val="0"/>
              <w:autoSpaceDE/>
              <w:autoSpaceDN/>
              <w:bidi w:val="0"/>
              <w:adjustRightInd/>
              <w:snapToGrid w:val="0"/>
              <w:spacing w:beforeAutospacing="0" w:afterAutospacing="0" w:line="240" w:lineRule="auto"/>
              <w:ind w:left="0" w:leftChars="0" w:right="0" w:rightChars="0" w:firstLine="0" w:firstLineChars="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人员数量、岗位配备、职责划分阐述不全、缺漏项，由评标委员会横向对比，差别赋分得0-</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分。</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73E8E456">
            <w:pPr>
              <w:widowControl/>
              <w:snapToGrid w:val="0"/>
              <w:spacing w:line="240" w:lineRule="auto"/>
              <w:jc w:val="left"/>
              <w:rPr>
                <w:rFonts w:hint="eastAsia" w:ascii="宋体" w:hAnsi="宋体" w:eastAsia="宋体" w:cs="宋体"/>
                <w:color w:val="000000"/>
                <w:sz w:val="21"/>
                <w:szCs w:val="21"/>
                <w:highlight w:val="yellow"/>
              </w:rPr>
            </w:pPr>
          </w:p>
        </w:tc>
      </w:tr>
      <w:tr w14:paraId="68F3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533" w:type="dxa"/>
            <w:vMerge w:val="continue"/>
            <w:tcBorders>
              <w:top w:val="single" w:color="auto" w:sz="4" w:space="0"/>
              <w:left w:val="single" w:color="auto" w:sz="4" w:space="0"/>
              <w:bottom w:val="single" w:color="auto" w:sz="4" w:space="0"/>
              <w:right w:val="single" w:color="auto" w:sz="4" w:space="0"/>
            </w:tcBorders>
            <w:noWrap w:val="0"/>
            <w:vAlign w:val="center"/>
          </w:tcPr>
          <w:p w14:paraId="5AE3895C">
            <w:pPr>
              <w:widowControl/>
              <w:snapToGrid w:val="0"/>
              <w:spacing w:line="240" w:lineRule="auto"/>
              <w:jc w:val="left"/>
              <w:rPr>
                <w:rFonts w:hint="eastAsia" w:ascii="宋体" w:hAnsi="宋体" w:eastAsia="宋体" w:cs="宋体"/>
                <w:color w:val="000000"/>
                <w:sz w:val="21"/>
                <w:szCs w:val="21"/>
                <w:highlight w:val="yellow"/>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2DFD1B6">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74C7F03">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2A17BD6D">
            <w:pPr>
              <w:snapToGrid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类似项目业绩</w:t>
            </w:r>
          </w:p>
        </w:tc>
        <w:tc>
          <w:tcPr>
            <w:tcW w:w="6175" w:type="dxa"/>
            <w:tcBorders>
              <w:top w:val="single" w:color="auto" w:sz="4" w:space="0"/>
              <w:left w:val="single" w:color="auto" w:sz="4" w:space="0"/>
              <w:bottom w:val="single" w:color="auto" w:sz="4" w:space="0"/>
              <w:right w:val="single" w:color="auto" w:sz="4" w:space="0"/>
            </w:tcBorders>
            <w:noWrap w:val="0"/>
            <w:vAlign w:val="center"/>
          </w:tcPr>
          <w:p w14:paraId="7AA5962A">
            <w:pPr>
              <w:snapToGrid w:val="0"/>
              <w:spacing w:line="24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近三年（202</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月-至今）类似项目业绩（中标通知书</w:t>
            </w:r>
            <w:r>
              <w:rPr>
                <w:rFonts w:hint="eastAsia" w:ascii="宋体" w:hAnsi="宋体" w:eastAsia="宋体" w:cs="宋体"/>
                <w:color w:val="000000" w:themeColor="text1"/>
                <w:sz w:val="21"/>
                <w:szCs w:val="21"/>
                <w:highlight w:val="none"/>
                <w:lang w:val="en-US" w:eastAsia="zh-CN"/>
                <w14:textFill>
                  <w14:solidFill>
                    <w14:schemeClr w14:val="tx1"/>
                  </w14:solidFill>
                </w14:textFill>
              </w:rPr>
              <w:t>或</w:t>
            </w:r>
            <w:r>
              <w:rPr>
                <w:rFonts w:hint="eastAsia" w:ascii="宋体" w:hAnsi="宋体" w:eastAsia="宋体" w:cs="宋体"/>
                <w:color w:val="000000" w:themeColor="text1"/>
                <w:sz w:val="21"/>
                <w:szCs w:val="21"/>
                <w:highlight w:val="none"/>
                <w14:textFill>
                  <w14:solidFill>
                    <w14:schemeClr w14:val="tx1"/>
                  </w14:solidFill>
                </w14:textFill>
              </w:rPr>
              <w:t>合同）每提供1个得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分，此项合计</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w:t>
            </w:r>
          </w:p>
        </w:tc>
        <w:tc>
          <w:tcPr>
            <w:tcW w:w="572" w:type="dxa"/>
            <w:vMerge w:val="continue"/>
            <w:tcBorders>
              <w:top w:val="single" w:color="auto" w:sz="4" w:space="0"/>
              <w:left w:val="single" w:color="auto" w:sz="4" w:space="0"/>
              <w:bottom w:val="single" w:color="auto" w:sz="4" w:space="0"/>
              <w:right w:val="single" w:color="auto" w:sz="4" w:space="0"/>
            </w:tcBorders>
            <w:noWrap w:val="0"/>
            <w:vAlign w:val="center"/>
          </w:tcPr>
          <w:p w14:paraId="2EE8A53A">
            <w:pPr>
              <w:widowControl/>
              <w:snapToGrid w:val="0"/>
              <w:spacing w:line="240" w:lineRule="auto"/>
              <w:jc w:val="left"/>
              <w:rPr>
                <w:rFonts w:hint="eastAsia" w:ascii="宋体" w:hAnsi="宋体" w:eastAsia="宋体" w:cs="宋体"/>
                <w:color w:val="000000"/>
                <w:sz w:val="21"/>
                <w:szCs w:val="21"/>
                <w:highlight w:val="yellow"/>
              </w:rPr>
            </w:pPr>
          </w:p>
        </w:tc>
      </w:tr>
      <w:tr w14:paraId="1993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33" w:type="dxa"/>
            <w:tcBorders>
              <w:top w:val="single" w:color="auto" w:sz="4" w:space="0"/>
              <w:left w:val="single" w:color="auto" w:sz="4" w:space="0"/>
              <w:bottom w:val="single" w:color="auto" w:sz="4" w:space="0"/>
              <w:right w:val="single" w:color="auto" w:sz="4" w:space="0"/>
            </w:tcBorders>
            <w:noWrap w:val="0"/>
            <w:vAlign w:val="center"/>
          </w:tcPr>
          <w:p w14:paraId="43728F96">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备注</w:t>
            </w:r>
          </w:p>
        </w:tc>
        <w:tc>
          <w:tcPr>
            <w:tcW w:w="9184" w:type="dxa"/>
            <w:gridSpan w:val="5"/>
            <w:tcBorders>
              <w:top w:val="single" w:color="auto" w:sz="4" w:space="0"/>
              <w:left w:val="single" w:color="auto" w:sz="4" w:space="0"/>
              <w:bottom w:val="single" w:color="auto" w:sz="4" w:space="0"/>
              <w:right w:val="single" w:color="auto" w:sz="4" w:space="0"/>
            </w:tcBorders>
            <w:noWrap w:val="0"/>
            <w:vAlign w:val="center"/>
          </w:tcPr>
          <w:p w14:paraId="703178F6">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1、各评委独立打分。</w:t>
            </w:r>
          </w:p>
          <w:p w14:paraId="4F4CC78A">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2、评委打分超过得分界限或未按本表规定赋分时，该评委的打分作废，不计入汇总分。</w:t>
            </w:r>
          </w:p>
          <w:p w14:paraId="0D0839E1">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若出现综合得分并列时，比较价格得分，此分项得分高者排序在前；若价格得分仍相同，比较技术得分，此分项得分高者排序在前；若技术得分仍相同，则由全体评标委员会成员无记名投票，得票高者排序在前。</w:t>
            </w:r>
          </w:p>
          <w:p w14:paraId="23A263D8">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4、各种计算采用插入法，数字均保留两位小数，第三位“四舍五入”。</w:t>
            </w:r>
          </w:p>
          <w:p w14:paraId="1B69572D">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5、评标过程中，若出现特殊情况时，由评标委员会决定暂停评标，并提出具体处理意见。</w:t>
            </w:r>
          </w:p>
          <w:p w14:paraId="538229F7">
            <w:pPr>
              <w:snapToGrid w:val="0"/>
              <w:spacing w:line="240" w:lineRule="auto"/>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注：以上评分项需要提供的资料，有就得分，无则不得分，提供虚假资料者按无效标处理。</w:t>
            </w:r>
          </w:p>
        </w:tc>
      </w:tr>
    </w:tbl>
    <w:p w14:paraId="0FB3F7FB">
      <w:pPr>
        <w:numPr>
          <w:ilvl w:val="0"/>
          <w:numId w:val="0"/>
        </w:numPr>
        <w:jc w:val="both"/>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sz w:val="24"/>
          <w:szCs w:val="24"/>
          <w:highlight w:val="none"/>
          <w:lang w:val="en-US" w:eastAsia="zh-CN"/>
        </w:rPr>
        <w:t>注：特殊情况处理：</w:t>
      </w:r>
    </w:p>
    <w:p w14:paraId="4CDEED33">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a、当供应商某评分项出现未报、漏报或零报价时，该分项得零分，并不参与投标报价分的计算。</w:t>
      </w:r>
    </w:p>
    <w:p w14:paraId="18923EC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b、若出现综合得分相同时，投标报价得分高者为第一中标候选人，若投标报价得分相同，技术得分高者为第一中标候选人，若上述两项得分相同，则由全体</w:t>
      </w:r>
      <w:r>
        <w:rPr>
          <w:rFonts w:hint="eastAsia" w:ascii="宋体" w:hAnsi="宋体" w:eastAsia="宋体" w:cs="宋体"/>
          <w:bCs/>
          <w:color w:val="000000" w:themeColor="text1"/>
          <w:szCs w:val="24"/>
          <w:highlight w:val="none"/>
          <w14:textFill>
            <w14:solidFill>
              <w14:schemeClr w14:val="tx1"/>
            </w14:solidFill>
          </w14:textFill>
        </w:rPr>
        <w:t>磋商小组</w:t>
      </w:r>
      <w:r>
        <w:rPr>
          <w:rFonts w:hint="eastAsia" w:ascii="宋体" w:hAnsi="宋体" w:eastAsia="宋体" w:cs="宋体"/>
          <w:color w:val="000000" w:themeColor="text1"/>
          <w:szCs w:val="24"/>
          <w:highlight w:val="none"/>
          <w14:textFill>
            <w14:solidFill>
              <w14:schemeClr w14:val="tx1"/>
            </w14:solidFill>
          </w14:textFill>
        </w:rPr>
        <w:t>成员无记名投票，得票高者为第一中标候选人。</w:t>
      </w:r>
    </w:p>
    <w:p w14:paraId="0936863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c、评标过程中，若出现本评标方法以外的特殊情况时，将暂停评标，待评委商榷后再进行复会。</w:t>
      </w:r>
    </w:p>
    <w:p w14:paraId="77BFCFC7">
      <w:pPr>
        <w:spacing w:line="560" w:lineRule="exact"/>
        <w:ind w:firstLine="600" w:firstLineChars="249"/>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2-7、政府采购政策评分标准</w:t>
      </w:r>
    </w:p>
    <w:p w14:paraId="586B58E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2.7.1小微企业的政策</w:t>
      </w:r>
    </w:p>
    <w:p w14:paraId="6B72CD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根据财政部、工信部《政府采购促进中小企业发展管理办法》（财库〔2020〕46 号）、《关于进一步加大政府采购支持中小企业力度的通知》（财库〔2022〕19号）、《关于进一步落实政府采购支持中小企业相关政策的通知》(陕财办采 (2023) 3号)的规定，对于经主管预算单位统筹后未预留份额专门面向中小企业采购的服务类项目，以及预留份额项目中的非预留部分采购包，采购人、采购代理机构应当对符合规定的小微企业报价给予10%的扣除，用扣除后的价格参加评审。适用招标投标法的政府采购工程建设项目，采用综合评估法但未采用低价优先法计算价格分的，评标时应当在采用原报价进行评分的基础上增加其价格得分的3%作为其价格分。</w:t>
      </w:r>
    </w:p>
    <w:p w14:paraId="52A8A37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采购限额标准以上，200万元以下的货物和服务采购项目、400万元以下的工程采购项目，适宜由中小企业提供的，应当专门面向中小企业采购。超过 200万元的货物和服务采购项目、超过400万元的工程采购项目中适宜由中小企业提供的，面向中小企业的预留份额今年阶段性提高至40%以上，其中预留给小微企业比例不低于70%。</w:t>
      </w:r>
    </w:p>
    <w:p w14:paraId="40B5702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以上均用扣除后的价格参与评审。中小型和微型企业按照《工业和信息化部、国家统计局、国家发展和改革委员会、财政部关于印发&lt;中小企业划型标准规定&gt;的通知》（工信部联合企业【2011】300 号）规定执行。</w:t>
      </w:r>
    </w:p>
    <w:p w14:paraId="6BE8616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2.7.2监狱企业的政策 </w:t>
      </w:r>
    </w:p>
    <w:p w14:paraId="77788A3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根据《财政部、司法部关于政府采购支持监狱企业发展有关问题的通知》（财库〔2014〕68 号）规定，在政府采购活动中，监狱企业视同中小型、微型企业，享受预留份额、评审中价格扣除等政府采购促进中小企业发展的政府采购政策。</w:t>
      </w:r>
    </w:p>
    <w:p w14:paraId="2999422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2.7.3残疾人福利性单位的政策 </w:t>
      </w:r>
    </w:p>
    <w:p w14:paraId="1F5A1FD4">
      <w:pPr>
        <w:spacing w:line="56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根据财政部、民政部、中国残疾人联合会《三部门联合发布关于促进残疾人就业政府采购政策的通知》（财库[2017]141 号）要求，在政府采购活动中，残疾人福利性单位视同中小型、微型企业，享受预留份额、评审中价格扣除等促进中小企业发展的政府采购政策。</w:t>
      </w:r>
    </w:p>
    <w:p w14:paraId="21964231">
      <w:pPr>
        <w:keepNext w:val="0"/>
        <w:keepLines w:val="0"/>
        <w:pageBreakBefore w:val="0"/>
        <w:wordWrap/>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000000" w:themeColor="text1"/>
          <w:szCs w:val="24"/>
          <w:highlight w:val="none"/>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2-7-4节能产品、环境标志产品的政策</w:t>
      </w:r>
    </w:p>
    <w:p w14:paraId="0A6A1024">
      <w:pPr>
        <w:spacing w:line="500" w:lineRule="exact"/>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节能产品、环境标志产品按照《财政部 生态环境部关于印发环境标志产品政府采购品目清单的通知（财库〔2019〕18号））、《财政部 发展改革委联合印发&lt;关于印发节能产品政府采购品目清单的通知（财库〔2019〕19号）、《国务院办公厅关于建立政府强制采购节能产品制度的通知》（国办发〔2007〕51号）有关规定执行。</w:t>
      </w:r>
    </w:p>
    <w:p w14:paraId="0BC0C9EE">
      <w:pPr>
        <w:spacing w:line="50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2-7-</w:t>
      </w:r>
      <w:r>
        <w:rPr>
          <w:rFonts w:hint="eastAsia" w:asciiTheme="minorEastAsia" w:hAnsiTheme="minorEastAsia" w:cstheme="minorEastAsia"/>
          <w:b w:val="0"/>
          <w:bCs w:val="0"/>
          <w:color w:val="000000" w:themeColor="text1"/>
          <w:szCs w:val="24"/>
          <w:lang w:val="en-US" w:eastAsia="zh-CN"/>
          <w14:textFill>
            <w14:solidFill>
              <w14:schemeClr w14:val="tx1"/>
            </w14:solidFill>
          </w14:textFill>
        </w:rPr>
        <w:t>5</w:t>
      </w:r>
      <w:r>
        <w:rPr>
          <w:rFonts w:hint="eastAsia" w:asciiTheme="minorEastAsia" w:hAnsiTheme="minorEastAsia" w:cstheme="minorEastAsia"/>
          <w:b w:val="0"/>
          <w:bCs w:val="0"/>
          <w:color w:val="000000" w:themeColor="text1"/>
          <w:szCs w:val="24"/>
          <w14:textFill>
            <w14:solidFill>
              <w14:schemeClr w14:val="tx1"/>
            </w14:solidFill>
          </w14:textFill>
        </w:rPr>
        <w:t>本项目是否专门面向中小企业项目：是。</w:t>
      </w:r>
    </w:p>
    <w:p w14:paraId="4DA2A6AE">
      <w:pPr>
        <w:spacing w:line="560" w:lineRule="exact"/>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18595AF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3、定标</w:t>
      </w:r>
    </w:p>
    <w:p w14:paraId="47265CD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3-1、定标程序</w:t>
      </w:r>
    </w:p>
    <w:p w14:paraId="0661B875">
      <w:pPr>
        <w:numPr>
          <w:ilvl w:val="0"/>
          <w:numId w:val="3"/>
        </w:numPr>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磋商小组依据评标办法，经过资格性审查、符合性审查、</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14:textFill>
            <w14:solidFill>
              <w14:schemeClr w14:val="tx1"/>
            </w14:solidFill>
          </w14:textFill>
        </w:rPr>
        <w:t>澄清、比较与评价等程序后，在最大限度满足竞争性磋商文件实质性要求前提下进行综合评审，以评标总得分</w:t>
      </w:r>
      <w:r>
        <w:rPr>
          <w:rFonts w:hint="eastAsia" w:ascii="宋体" w:hAnsi="宋体" w:eastAsia="宋体" w:cs="宋体"/>
          <w:color w:val="000000" w:themeColor="text1"/>
          <w:szCs w:val="24"/>
          <w:highlight w:val="none"/>
          <w:lang w:val="en-US" w:eastAsia="zh-CN"/>
          <w14:textFill>
            <w14:solidFill>
              <w14:schemeClr w14:val="tx1"/>
            </w14:solidFill>
          </w14:textFill>
        </w:rPr>
        <w:t>由</w:t>
      </w:r>
      <w:r>
        <w:rPr>
          <w:rFonts w:hint="eastAsia" w:ascii="宋体" w:hAnsi="宋体" w:eastAsia="宋体" w:cs="宋体"/>
          <w:color w:val="000000" w:themeColor="text1"/>
          <w:szCs w:val="24"/>
          <w:highlight w:val="none"/>
          <w14:textFill>
            <w14:solidFill>
              <w14:schemeClr w14:val="tx1"/>
            </w14:solidFill>
          </w14:textFill>
        </w:rPr>
        <w:t>高</w:t>
      </w:r>
      <w:r>
        <w:rPr>
          <w:rFonts w:hint="eastAsia" w:ascii="宋体" w:hAnsi="宋体" w:eastAsia="宋体" w:cs="宋体"/>
          <w:color w:val="000000" w:themeColor="text1"/>
          <w:szCs w:val="24"/>
          <w:highlight w:val="none"/>
          <w:lang w:val="en-US" w:eastAsia="zh-CN"/>
          <w14:textFill>
            <w14:solidFill>
              <w14:schemeClr w14:val="tx1"/>
            </w14:solidFill>
          </w14:textFill>
        </w:rPr>
        <w:t>至</w:t>
      </w:r>
      <w:r>
        <w:rPr>
          <w:rFonts w:hint="eastAsia" w:ascii="宋体" w:hAnsi="宋体" w:eastAsia="宋体" w:cs="宋体"/>
          <w:color w:val="000000" w:themeColor="text1"/>
          <w:szCs w:val="24"/>
          <w:highlight w:val="none"/>
          <w14:textFill>
            <w14:solidFill>
              <w14:schemeClr w14:val="tx1"/>
            </w14:solidFill>
          </w14:textFill>
        </w:rPr>
        <w:t>低的顺序推荐3名以上成交候选人，并编写</w:t>
      </w:r>
      <w:bookmarkStart w:id="37" w:name="OLE_LINK4"/>
      <w:r>
        <w:rPr>
          <w:rFonts w:hint="eastAsia" w:ascii="宋体" w:hAnsi="宋体" w:eastAsia="宋体" w:cs="宋体"/>
          <w:color w:val="000000" w:themeColor="text1"/>
          <w:szCs w:val="24"/>
          <w:highlight w:val="none"/>
          <w14:textFill>
            <w14:solidFill>
              <w14:schemeClr w14:val="tx1"/>
            </w14:solidFill>
          </w14:textFill>
        </w:rPr>
        <w:t>评标</w:t>
      </w:r>
      <w:bookmarkEnd w:id="37"/>
      <w:r>
        <w:rPr>
          <w:rFonts w:hint="eastAsia" w:ascii="宋体" w:hAnsi="宋体" w:eastAsia="宋体" w:cs="宋体"/>
          <w:color w:val="000000" w:themeColor="text1"/>
          <w:szCs w:val="24"/>
          <w:highlight w:val="none"/>
          <w14:textFill>
            <w14:solidFill>
              <w14:schemeClr w14:val="tx1"/>
            </w14:solidFill>
          </w14:textFill>
        </w:rPr>
        <w:t>报告。</w:t>
      </w:r>
      <w:r>
        <w:rPr>
          <w:rFonts w:hint="eastAsia" w:ascii="宋体" w:hAnsi="宋体" w:eastAsia="宋体" w:cs="宋体"/>
          <w:color w:val="000000" w:themeColor="text1"/>
          <w:kern w:val="0"/>
          <w:szCs w:val="24"/>
          <w:highlight w:val="none"/>
          <w14:textFill>
            <w14:solidFill>
              <w14:schemeClr w14:val="tx1"/>
            </w14:solidFill>
          </w14:textFill>
        </w:rPr>
        <w:t>　</w:t>
      </w:r>
    </w:p>
    <w:p w14:paraId="5E250D03">
      <w:pPr>
        <w:numPr>
          <w:ilvl w:val="0"/>
          <w:numId w:val="3"/>
        </w:num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38" w:name="OLE_LINK18"/>
      <w:r>
        <w:rPr>
          <w:rFonts w:hint="eastAsia" w:ascii="宋体" w:hAnsi="宋体" w:eastAsia="宋体" w:cs="宋体"/>
          <w:color w:val="000000" w:themeColor="text1"/>
          <w:szCs w:val="24"/>
          <w:highlight w:val="none"/>
          <w14:textFill>
            <w14:solidFill>
              <w14:schemeClr w14:val="tx1"/>
            </w14:solidFill>
          </w14:textFill>
        </w:rPr>
        <w:t>磋商小组应当在评标报告上签字，对自己的评审意见承担法律责任。磋商小组</w:t>
      </w:r>
      <w:r>
        <w:rPr>
          <w:rFonts w:hint="eastAsia" w:ascii="宋体" w:hAnsi="宋体" w:eastAsia="宋体" w:cs="宋体"/>
          <w:color w:val="000000" w:themeColor="text1"/>
          <w:highlight w:val="none"/>
          <w14:textFill>
            <w14:solidFill>
              <w14:schemeClr w14:val="tx1"/>
            </w14:solidFill>
          </w14:textFill>
        </w:rPr>
        <w:t>成员对需要共同认定的事项存在争议的，应当按照少数服从多数的原则作出结论。持不同意见的磋商小组成员应当在评标报告上签署不同意见及理由，否则视为同意评标报告。</w:t>
      </w:r>
    </w:p>
    <w:bookmarkEnd w:id="38"/>
    <w:p w14:paraId="18E6C97E">
      <w:pPr>
        <w:numPr>
          <w:ilvl w:val="0"/>
          <w:numId w:val="3"/>
        </w:num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应当自评审结束之日起2个工作日内将评标报告送交采购人。采购人在收到评审报告5个工作日内，从评审报告推荐的成交候选人中，按顺序确定成交人。成交候选人并列的，磋商报价得分高者成为中标人，若投标报价得分相同，技术得分高者成为成交人。确定结果后，采购人向采购代理机构出具《定标复函》。采购人逾期未按评标报告推荐的中标候选人顺序确定成交人，又不能说明合法理由的，视同按评标报告推荐的顺序确定排名第一的成交候选人为成交人。</w:t>
      </w:r>
    </w:p>
    <w:p w14:paraId="057F6F06">
      <w:pPr>
        <w:numPr>
          <w:ilvl w:val="0"/>
          <w:numId w:val="3"/>
        </w:num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采购代理机构接到采购人的《定标复函》后，在2个工作日内，将成交结果在陕西省政府采购网上进行公告。公告发布1个工作日，其他供应商若有异议，按《</w:t>
      </w:r>
      <w:r>
        <w:rPr>
          <w:rFonts w:hint="eastAsia" w:ascii="宋体" w:hAnsi="宋体" w:eastAsia="宋体" w:cs="宋体"/>
          <w:color w:val="000000" w:themeColor="text1"/>
          <w:szCs w:val="24"/>
          <w:highlight w:val="none"/>
          <w:lang w:val="en-US" w:eastAsia="zh-CN"/>
          <w14:textFill>
            <w14:solidFill>
              <w14:schemeClr w14:val="tx1"/>
            </w14:solidFill>
          </w14:textFill>
        </w:rPr>
        <w:t>中华人民共和国</w:t>
      </w:r>
      <w:r>
        <w:rPr>
          <w:rFonts w:hint="eastAsia" w:ascii="宋体" w:hAnsi="宋体" w:eastAsia="宋体" w:cs="宋体"/>
          <w:color w:val="000000" w:themeColor="text1"/>
          <w:szCs w:val="24"/>
          <w:highlight w:val="none"/>
          <w14:textFill>
            <w14:solidFill>
              <w14:schemeClr w14:val="tx1"/>
            </w14:solidFill>
          </w14:textFill>
        </w:rPr>
        <w:t>政府采购法》第52条执行。</w:t>
      </w:r>
    </w:p>
    <w:p w14:paraId="2ED4AD9F">
      <w:pPr>
        <w:spacing w:line="560" w:lineRule="exact"/>
        <w:ind w:firstLine="600" w:firstLineChars="25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3-2、成交人确定后，采购人和采购代理机构对未成交原因不作任何解释。</w:t>
      </w:r>
    </w:p>
    <w:p w14:paraId="3FF99C20">
      <w:pPr>
        <w:adjustRightInd w:val="0"/>
        <w:snapToGrid w:val="0"/>
        <w:spacing w:line="560" w:lineRule="exact"/>
        <w:ind w:firstLine="482" w:firstLineChars="200"/>
        <w:rPr>
          <w:rFonts w:ascii="宋体" w:hAnsi="宋体" w:eastAsia="宋体" w:cs="宋体"/>
          <w:color w:val="000000" w:themeColor="text1"/>
          <w:szCs w:val="24"/>
          <w:highlight w:val="none"/>
          <w14:textFill>
            <w14:solidFill>
              <w14:schemeClr w14:val="tx1"/>
            </w14:solidFill>
          </w14:textFill>
        </w:rPr>
      </w:pPr>
      <w:bookmarkStart w:id="39" w:name="_Toc458617738"/>
      <w:bookmarkStart w:id="40" w:name="_Toc458617461"/>
      <w:r>
        <w:rPr>
          <w:rFonts w:hint="eastAsia" w:ascii="宋体" w:hAnsi="宋体" w:eastAsia="宋体" w:cs="宋体"/>
          <w:b/>
          <w:color w:val="000000" w:themeColor="text1"/>
          <w:szCs w:val="24"/>
          <w:highlight w:val="none"/>
          <w14:textFill>
            <w14:solidFill>
              <w14:schemeClr w14:val="tx1"/>
            </w14:solidFill>
          </w14:textFill>
        </w:rPr>
        <w:t>4、投标无效的情形：</w:t>
      </w:r>
    </w:p>
    <w:p w14:paraId="4F9BB8D9">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4-1、未按照竞争性磋商文件的规定提交磋商保证金的；</w:t>
      </w:r>
    </w:p>
    <w:p w14:paraId="27CAD141">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4-2、响应文件未按竞争性磋商文件要求签署、盖章的；</w:t>
      </w:r>
    </w:p>
    <w:p w14:paraId="79B71FEC">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4-3、不具备竞争性磋商文件中规定的资格要求的；</w:t>
      </w:r>
    </w:p>
    <w:p w14:paraId="479366AB">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4-4、报价超过竞争性磋商文件中规定的项目采购预算</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最高限价</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的；</w:t>
      </w:r>
    </w:p>
    <w:p w14:paraId="43FDB4DA">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4-5、响应文件含有采购人不能接受的附加条件的；</w:t>
      </w:r>
    </w:p>
    <w:p w14:paraId="55ECC9A4">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4-6、</w:t>
      </w:r>
      <w:r>
        <w:rPr>
          <w:rFonts w:hint="eastAsia" w:ascii="宋体" w:hAnsi="宋体" w:eastAsia="宋体" w:cs="宋体"/>
          <w:color w:val="000000" w:themeColor="text1"/>
          <w:kern w:val="0"/>
          <w:szCs w:val="24"/>
          <w:highlight w:val="none"/>
          <w14:textFill>
            <w14:solidFill>
              <w14:schemeClr w14:val="tx1"/>
            </w14:solidFill>
          </w14:textFill>
        </w:rPr>
        <w:t>提供虚假材料谋取中标的；</w:t>
      </w:r>
    </w:p>
    <w:p w14:paraId="7BC12484">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4-7、采取不正当手段诋毁、排挤其他供应商的；</w:t>
      </w:r>
    </w:p>
    <w:p w14:paraId="186DD602">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4-8、</w:t>
      </w:r>
      <w:r>
        <w:rPr>
          <w:rFonts w:hint="eastAsia" w:ascii="宋体" w:hAnsi="宋体" w:eastAsia="宋体" w:cs="宋体"/>
          <w:color w:val="000000" w:themeColor="text1"/>
          <w:szCs w:val="24"/>
          <w:highlight w:val="none"/>
          <w14:textFill>
            <w14:solidFill>
              <w14:schemeClr w14:val="tx1"/>
            </w14:solidFill>
          </w14:textFill>
        </w:rPr>
        <w:t>法律、法规和竞争性磋商文件规定的其他无效情形。</w:t>
      </w:r>
    </w:p>
    <w:p w14:paraId="5D7EE0A5">
      <w:pPr>
        <w:spacing w:line="560" w:lineRule="exact"/>
        <w:ind w:firstLine="472" w:firstLineChars="196"/>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5、成交通知</w:t>
      </w:r>
      <w:bookmarkEnd w:id="39"/>
      <w:bookmarkEnd w:id="40"/>
      <w:r>
        <w:rPr>
          <w:rFonts w:hint="eastAsia" w:ascii="宋体" w:hAnsi="宋体" w:eastAsia="宋体" w:cs="宋体"/>
          <w:b/>
          <w:color w:val="000000" w:themeColor="text1"/>
          <w:szCs w:val="24"/>
          <w:highlight w:val="none"/>
          <w14:textFill>
            <w14:solidFill>
              <w14:schemeClr w14:val="tx1"/>
            </w14:solidFill>
          </w14:textFill>
        </w:rPr>
        <w:t>书</w:t>
      </w:r>
    </w:p>
    <w:p w14:paraId="0D74C0D9">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5-1、成交通知书将在成交结果公告发布的同时由采购代理机构发出。</w:t>
      </w:r>
    </w:p>
    <w:p w14:paraId="17F332E5">
      <w:pPr>
        <w:adjustRightInd w:val="0"/>
        <w:snapToGrid w:val="0"/>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5-2、成交人应在接到采购代理机构通知之日起七日内领取成交通知书。</w:t>
      </w:r>
      <w:r>
        <w:rPr>
          <w:rFonts w:hint="eastAsia" w:ascii="宋体" w:hAnsi="宋体" w:eastAsia="宋体" w:cs="宋体"/>
          <w:b/>
          <w:bCs/>
          <w:color w:val="000000" w:themeColor="text1"/>
          <w:szCs w:val="24"/>
          <w:highlight w:val="none"/>
          <w14:textFill>
            <w14:solidFill>
              <w14:schemeClr w14:val="tx1"/>
            </w14:solidFill>
          </w14:textFill>
        </w:rPr>
        <w:t>未在规定时间内领取成交通知书的，磋商保证金不予退还。</w:t>
      </w:r>
      <w:bookmarkStart w:id="41" w:name="_Toc458617739"/>
      <w:bookmarkStart w:id="42" w:name="_Toc458617462"/>
      <w:bookmarkStart w:id="43" w:name="_Toc458617790"/>
    </w:p>
    <w:p w14:paraId="39ACA0E3">
      <w:pPr>
        <w:adjustRightInd w:val="0"/>
        <w:snapToGrid w:val="0"/>
        <w:spacing w:line="560" w:lineRule="exact"/>
        <w:ind w:firstLine="480" w:firstLineChars="200"/>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5-3、</w:t>
      </w:r>
      <w:r>
        <w:rPr>
          <w:rFonts w:hint="eastAsia" w:ascii="宋体" w:hAnsi="宋体" w:eastAsia="宋体" w:cs="宋体"/>
          <w:color w:val="000000" w:themeColor="text1"/>
          <w:kern w:val="0"/>
          <w:szCs w:val="24"/>
          <w:highlight w:val="none"/>
          <w14:textFill>
            <w14:solidFill>
              <w14:schemeClr w14:val="tx1"/>
            </w14:solidFill>
          </w14:textFill>
        </w:rPr>
        <w:t>成交通知书发出后，采购人不得违法改变成交结果，成交人无正当理由不得放弃成交。</w:t>
      </w:r>
    </w:p>
    <w:p w14:paraId="3B41DF50">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44" w:name="_Toc21188"/>
      <w:r>
        <w:rPr>
          <w:rFonts w:hint="eastAsia" w:ascii="宋体" w:hAnsi="宋体" w:eastAsia="宋体" w:cs="宋体"/>
          <w:color w:val="000000" w:themeColor="text1"/>
          <w:kern w:val="0"/>
          <w:sz w:val="28"/>
          <w:szCs w:val="28"/>
          <w:highlight w:val="none"/>
          <w14:textFill>
            <w14:solidFill>
              <w14:schemeClr w14:val="tx1"/>
            </w14:solidFill>
          </w14:textFill>
        </w:rPr>
        <w:t>八、合同</w:t>
      </w:r>
      <w:bookmarkEnd w:id="41"/>
      <w:bookmarkEnd w:id="42"/>
      <w:bookmarkEnd w:id="43"/>
      <w:bookmarkEnd w:id="44"/>
    </w:p>
    <w:p w14:paraId="69BBE6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人在收到</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通知书后25日内，应按竞争性磋商文件的要求与采购人签订合同。</w:t>
      </w:r>
    </w:p>
    <w:p w14:paraId="2B08841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成交人因自身原因不按规定与采购人签订供货合同或者拒绝与采购人签订合同的，则采购人将废除授标，磋商保证金不予退还。给采购人造成损失超过磋商保证金额的，还应当对超过部分予以赔偿，并依法承担相应法律责任。</w:t>
      </w:r>
      <w:r>
        <w:rPr>
          <w:rFonts w:hint="eastAsia" w:ascii="宋体" w:hAnsi="宋体" w:eastAsia="宋体" w:cs="宋体"/>
          <w:color w:val="000000" w:themeColor="text1"/>
          <w:highlight w:val="none"/>
          <w14:textFill>
            <w14:solidFill>
              <w14:schemeClr w14:val="tx1"/>
            </w14:solidFill>
          </w14:textFill>
        </w:rPr>
        <w:t>同时，采购人可以按照评审报告推荐的中标候选人名单排序，确定下一候选人为中标人，</w:t>
      </w:r>
      <w:r>
        <w:rPr>
          <w:rFonts w:hint="eastAsia" w:ascii="宋体" w:hAnsi="宋体" w:eastAsia="宋体" w:cs="宋体"/>
          <w:color w:val="000000" w:themeColor="text1"/>
          <w:szCs w:val="24"/>
          <w:highlight w:val="none"/>
          <w14:textFill>
            <w14:solidFill>
              <w14:schemeClr w14:val="tx1"/>
            </w14:solidFill>
          </w14:textFill>
        </w:rPr>
        <w:t>以此类推，</w:t>
      </w:r>
      <w:r>
        <w:rPr>
          <w:rFonts w:hint="eastAsia" w:ascii="宋体" w:hAnsi="宋体" w:eastAsia="宋体" w:cs="宋体"/>
          <w:color w:val="000000" w:themeColor="text1"/>
          <w:highlight w:val="none"/>
          <w14:textFill>
            <w14:solidFill>
              <w14:schemeClr w14:val="tx1"/>
            </w14:solidFill>
          </w14:textFill>
        </w:rPr>
        <w:t>也可以重新开展政府采购活动。</w:t>
      </w:r>
      <w:r>
        <w:rPr>
          <w:rFonts w:hint="eastAsia" w:ascii="宋体" w:hAnsi="宋体" w:eastAsia="宋体" w:cs="宋体"/>
          <w:color w:val="000000" w:themeColor="text1"/>
          <w:szCs w:val="24"/>
          <w:highlight w:val="none"/>
          <w14:textFill>
            <w14:solidFill>
              <w14:schemeClr w14:val="tx1"/>
            </w14:solidFill>
          </w14:textFill>
        </w:rPr>
        <w:t>因自身原因拒绝签订政府采购合同的或者未按合同约定进行履约的，中标人不得参加对该项目重新开展的招标活动。</w:t>
      </w:r>
    </w:p>
    <w:p w14:paraId="68E78456">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通知书将是合同的重要组成部分。竞争性磋商文件、中标人的响应文件及评议过程中有关的澄清文件均作为合同附件。</w:t>
      </w:r>
    </w:p>
    <w:p w14:paraId="0913EF3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后，</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人应按照合同约定履行义务，完成招标项目的采购要求，经采购人同意，</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人可以依法采取分包方式履行合同。分包部分为</w:t>
      </w:r>
      <w:r>
        <w:rPr>
          <w:rFonts w:hint="eastAsia" w:ascii="宋体" w:hAnsi="宋体" w:eastAsia="宋体" w:cs="宋体"/>
          <w:color w:val="000000" w:themeColor="text1"/>
          <w:kern w:val="0"/>
          <w:szCs w:val="24"/>
          <w:highlight w:val="none"/>
          <w14:textFill>
            <w14:solidFill>
              <w14:schemeClr w14:val="tx1"/>
            </w14:solidFill>
          </w14:textFill>
        </w:rPr>
        <w:t>成交</w:t>
      </w:r>
      <w:r>
        <w:rPr>
          <w:rFonts w:hint="eastAsia" w:ascii="宋体" w:hAnsi="宋体" w:eastAsia="宋体" w:cs="宋体"/>
          <w:color w:val="000000" w:themeColor="text1"/>
          <w:szCs w:val="24"/>
          <w:highlight w:val="none"/>
          <w14:textFill>
            <w14:solidFill>
              <w14:schemeClr w14:val="tx1"/>
            </w14:solidFill>
          </w14:textFill>
        </w:rPr>
        <w:t>项目的部分非主体、非关键性工作。接受分包的供应商应当具备相应的资格条件，并不得再次分包。分包履行的，中标人就采购项目和分包项目向采购人负责，分包供应商就分包项目承担责任。中小企业根据《政府采购促进中小企业发展管理办法》（财库〔2020〕46号）、《关于进一步加大政府采购支持中小企业力度的通知》（财库〔2022〕19号）、《关于进一步落实政府采购支持中小企业相关政策的通知》(陕财办采 (2023) 3号规定的政策获取政府采购合同后，小型、微型企业不得分包或转包给大型、中型企业，中型企业不得分包或转包给大型企业。</w:t>
      </w:r>
    </w:p>
    <w:p w14:paraId="04143D9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5、所签订的合同不得对竞争性磋商文件确定的事项和中标人响应文件作实质性修改。</w:t>
      </w:r>
    </w:p>
    <w:p w14:paraId="23F21897">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6、采购人需追加与合同标的相同的货物、工程或服务的，在不改变合同其他条款的前提下，可以与中标人协商签订补充合同，但所有补充合同的采购金额不得超过原合同采购金额的百分之十。</w:t>
      </w:r>
      <w:bookmarkStart w:id="45" w:name="_Toc458617740"/>
      <w:bookmarkStart w:id="46" w:name="_Toc458617463"/>
    </w:p>
    <w:p w14:paraId="3B3FBEE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w:t>
      </w:r>
      <w:bookmarkStart w:id="47" w:name="_Toc3780"/>
      <w:r>
        <w:rPr>
          <w:rFonts w:hint="eastAsia" w:ascii="宋体" w:hAnsi="宋体" w:eastAsia="宋体" w:cs="宋体"/>
          <w:color w:val="000000" w:themeColor="text1"/>
          <w:szCs w:val="24"/>
          <w:highlight w:val="none"/>
          <w:lang w:eastAsia="zh-CN"/>
          <w14:textFill>
            <w14:solidFill>
              <w14:schemeClr w14:val="tx1"/>
            </w14:solidFill>
          </w14:textFill>
        </w:rPr>
        <w:t>付款方式：</w:t>
      </w:r>
      <w:r>
        <w:rPr>
          <w:rFonts w:hint="eastAsia" w:ascii="宋体" w:hAnsi="宋体" w:eastAsia="宋体" w:cs="宋体"/>
          <w:color w:val="000000" w:themeColor="text1"/>
          <w:szCs w:val="24"/>
          <w:highlight w:val="none"/>
          <w:lang w:val="en-US" w:eastAsia="zh-CN"/>
          <w14:textFill>
            <w14:solidFill>
              <w14:schemeClr w14:val="tx1"/>
            </w14:solidFill>
          </w14:textFill>
        </w:rPr>
        <w:t>项目采购单位完成采购招标程序后，成交供应商凭成交通知书及合同，经逐级审核后申请项目合同价款，项目合同价款按项目进度支付。</w:t>
      </w:r>
    </w:p>
    <w:p w14:paraId="22E30C46">
      <w:pPr>
        <w:spacing w:line="560" w:lineRule="exact"/>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九</w:t>
      </w:r>
      <w:r>
        <w:rPr>
          <w:rFonts w:hint="eastAsia" w:ascii="宋体" w:hAnsi="宋体" w:eastAsia="宋体" w:cs="宋体"/>
          <w:color w:val="000000" w:themeColor="text1"/>
          <w:kern w:val="0"/>
          <w:sz w:val="28"/>
          <w:szCs w:val="28"/>
          <w:highlight w:val="none"/>
          <w14:textFill>
            <w14:solidFill>
              <w14:schemeClr w14:val="tx1"/>
            </w14:solidFill>
          </w14:textFill>
        </w:rPr>
        <w:t>、合同的履约验收</w:t>
      </w:r>
      <w:bookmarkEnd w:id="47"/>
    </w:p>
    <w:p w14:paraId="0A0539BF">
      <w:pPr>
        <w:spacing w:line="56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采购人应按照政府采购合同约定的技术、服务、安全标准组织对供应商每一项技术、服务、安全标准的履约情况进行验收，并出具验收书。</w:t>
      </w:r>
    </w:p>
    <w:bookmarkEnd w:id="45"/>
    <w:bookmarkEnd w:id="46"/>
    <w:p w14:paraId="3E0902B4">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48" w:name="_Toc30842"/>
      <w:bookmarkStart w:id="49" w:name="_Toc20000"/>
      <w:bookmarkStart w:id="50" w:name="_Toc458617465"/>
      <w:bookmarkStart w:id="51" w:name="_Toc458617742"/>
      <w:r>
        <w:rPr>
          <w:rFonts w:hint="eastAsia" w:ascii="宋体" w:hAnsi="宋体" w:eastAsia="宋体" w:cs="宋体"/>
          <w:color w:val="000000" w:themeColor="text1"/>
          <w:kern w:val="0"/>
          <w:sz w:val="28"/>
          <w:szCs w:val="28"/>
          <w:highlight w:val="none"/>
          <w14:textFill>
            <w14:solidFill>
              <w14:schemeClr w14:val="tx1"/>
            </w14:solidFill>
          </w14:textFill>
        </w:rPr>
        <w:t>十、重新组织采购活动</w:t>
      </w:r>
      <w:bookmarkEnd w:id="48"/>
      <w:bookmarkEnd w:id="49"/>
    </w:p>
    <w:p w14:paraId="134CFB4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如果发生下列情况之一，采购人和采购代理机构将按《</w:t>
      </w:r>
      <w:r>
        <w:rPr>
          <w:rFonts w:hint="eastAsia" w:ascii="宋体" w:hAnsi="宋体" w:eastAsia="宋体" w:cs="宋体"/>
          <w:color w:val="000000" w:themeColor="text1"/>
          <w:szCs w:val="24"/>
          <w:highlight w:val="none"/>
          <w:lang w:val="en-US" w:eastAsia="zh-CN"/>
          <w14:textFill>
            <w14:solidFill>
              <w14:schemeClr w14:val="tx1"/>
            </w14:solidFill>
          </w14:textFill>
        </w:rPr>
        <w:t>中华人民共和国</w:t>
      </w:r>
      <w:r>
        <w:rPr>
          <w:rFonts w:hint="eastAsia" w:ascii="宋体" w:hAnsi="宋体" w:eastAsia="宋体" w:cs="宋体"/>
          <w:color w:val="000000" w:themeColor="text1"/>
          <w:szCs w:val="24"/>
          <w:highlight w:val="none"/>
          <w14:textFill>
            <w14:solidFill>
              <w14:schemeClr w14:val="tx1"/>
            </w14:solidFill>
          </w14:textFill>
        </w:rPr>
        <w:t>政府采购法》、《政府采购货物和服务招标投标管理办法》（财政部第87号）等有关规定重新组织采购活动：</w:t>
      </w:r>
    </w:p>
    <w:p w14:paraId="6094D94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（1）因重大变故，采购任务取消的；</w:t>
      </w:r>
    </w:p>
    <w:p w14:paraId="6ED96FAD">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（2）竞争性磋商文件存在不合理条款或者招标程序不符合规定的；</w:t>
      </w:r>
    </w:p>
    <w:p w14:paraId="3A168471">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（3）出现影响采购公正的违法、违规行为的；</w:t>
      </w:r>
    </w:p>
    <w:p w14:paraId="4711EE4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（4）投标截止后供应商不足3家或者通过资格审查或符合性审查的供应商不足3家的；</w:t>
      </w:r>
    </w:p>
    <w:p w14:paraId="0F1B95D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（5）所有供应商的报价均超出项目采购预算，采购人不能支付的。</w:t>
      </w:r>
    </w:p>
    <w:p w14:paraId="29D10FDB">
      <w:pPr>
        <w:spacing w:line="560" w:lineRule="exact"/>
        <w:rPr>
          <w:rFonts w:ascii="宋体" w:hAnsi="宋体" w:eastAsia="宋体" w:cs="宋体"/>
          <w:color w:val="000000" w:themeColor="text1"/>
          <w:kern w:val="0"/>
          <w:sz w:val="28"/>
          <w:szCs w:val="28"/>
          <w:highlight w:val="none"/>
          <w14:textFill>
            <w14:solidFill>
              <w14:schemeClr w14:val="tx1"/>
            </w14:solidFill>
          </w14:textFill>
        </w:rPr>
      </w:pPr>
      <w:bookmarkStart w:id="52" w:name="_Toc28121"/>
      <w:r>
        <w:rPr>
          <w:rFonts w:hint="eastAsia" w:ascii="宋体" w:hAnsi="宋体" w:eastAsia="宋体" w:cs="宋体"/>
          <w:color w:val="000000" w:themeColor="text1"/>
          <w:kern w:val="0"/>
          <w:sz w:val="28"/>
          <w:szCs w:val="28"/>
          <w:highlight w:val="none"/>
          <w14:textFill>
            <w14:solidFill>
              <w14:schemeClr w14:val="tx1"/>
            </w14:solidFill>
          </w14:textFill>
        </w:rPr>
        <w:t>十</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一</w:t>
      </w:r>
      <w:r>
        <w:rPr>
          <w:rFonts w:hint="eastAsia" w:ascii="宋体" w:hAnsi="宋体" w:eastAsia="宋体" w:cs="宋体"/>
          <w:color w:val="000000" w:themeColor="text1"/>
          <w:kern w:val="0"/>
          <w:sz w:val="28"/>
          <w:szCs w:val="28"/>
          <w:highlight w:val="none"/>
          <w14:textFill>
            <w14:solidFill>
              <w14:schemeClr w14:val="tx1"/>
            </w14:solidFill>
          </w14:textFill>
        </w:rPr>
        <w:t>、</w:t>
      </w:r>
      <w:bookmarkEnd w:id="50"/>
      <w:bookmarkEnd w:id="51"/>
      <w:bookmarkStart w:id="53" w:name="_Toc458617743"/>
      <w:bookmarkStart w:id="54" w:name="_Toc458617466"/>
      <w:r>
        <w:rPr>
          <w:rFonts w:hint="eastAsia" w:ascii="宋体" w:hAnsi="宋体" w:eastAsia="宋体" w:cs="宋体"/>
          <w:color w:val="000000" w:themeColor="text1"/>
          <w:kern w:val="0"/>
          <w:sz w:val="28"/>
          <w:szCs w:val="28"/>
          <w:highlight w:val="none"/>
          <w14:textFill>
            <w14:solidFill>
              <w14:schemeClr w14:val="tx1"/>
            </w14:solidFill>
          </w14:textFill>
        </w:rPr>
        <w:t>询问、质疑与投诉</w:t>
      </w:r>
      <w:bookmarkEnd w:id="52"/>
    </w:p>
    <w:p w14:paraId="24209DB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bookmarkStart w:id="55" w:name="_Toc26443"/>
      <w:r>
        <w:rPr>
          <w:rFonts w:hint="eastAsia" w:ascii="宋体" w:hAnsi="宋体" w:eastAsia="宋体" w:cs="宋体"/>
          <w:color w:val="000000" w:themeColor="text1"/>
          <w:szCs w:val="24"/>
          <w:highlight w:val="none"/>
          <w14:textFill>
            <w14:solidFill>
              <w14:schemeClr w14:val="tx1"/>
            </w14:solidFill>
          </w14:textFill>
        </w:rPr>
        <w:t>1.询问</w:t>
      </w:r>
    </w:p>
    <w:p w14:paraId="50487D85">
      <w:pPr>
        <w:spacing w:line="560" w:lineRule="exact"/>
        <w:ind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供应商对政府采购活动事项有疑问的，可以向采购代理机构或采购人提出询问。采购代理机构或采购人将在3个工作日内对供应商依法提出的询问作出答复。</w:t>
      </w:r>
    </w:p>
    <w:p w14:paraId="569E7AF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供应商提出的询问超出采购人对采购代理机构委托授权范围的，采购代理机构将告知供应商向采购人提出。</w:t>
      </w:r>
    </w:p>
    <w:p w14:paraId="03C0DBF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2.质疑和投诉</w:t>
      </w:r>
    </w:p>
    <w:p w14:paraId="08F6602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认为竞争性磋商文件、招标过程使自身的合法权益受到损害，可以在知道或者应当知道其自身权益收到损害之日起七个工作日，以书面形式（纸质版加盖公章）向采购代理机构或采购人提出质疑。供应商认为中标结果使自身的合法权益受到损害，可以在开标后7日内，以书面形式（纸质版加盖公章）向采购代理机构或采购人提出质疑。</w:t>
      </w:r>
    </w:p>
    <w:p w14:paraId="66F83F68">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2.1、质疑书应当包括以下主要内容：被质疑项目名称、项目编号、标段、招标公告/中标公告发布时间、质疑事项、证据材料、法律依据（具体条款）、质疑人有效联系方式等。</w:t>
      </w:r>
    </w:p>
    <w:p w14:paraId="46FB08D0">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2.2、质疑书应当由法定代表人签字并加盖公章，公章不得以合同章或其他印章代替。质疑人可以委托代理人办理质疑事项，代理人办理质疑事项时，除提交质疑书外，还应当提交质疑人的授权委托书及代理人的有效身份证明，授权委托书应当载明委托代理的具体权限和事项。</w:t>
      </w:r>
    </w:p>
    <w:p w14:paraId="28F9FFD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2.3.有下列情形之一的，属于无效质疑，采购代理机构和采购人不予受理：</w:t>
      </w:r>
    </w:p>
    <w:p w14:paraId="50FC801F">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（1）质疑人不是参与本次政府采购项目的供应商/供应商或潜在供应商/供应商；</w:t>
      </w:r>
    </w:p>
    <w:p w14:paraId="2AFECD1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（2）质疑人与质疑事项不存在利害关系的；</w:t>
      </w:r>
    </w:p>
    <w:p w14:paraId="5820ED8B">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（3）未在法定期限内提出质疑的；</w:t>
      </w:r>
    </w:p>
    <w:p w14:paraId="077D1EEE">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（4）质疑未以书面形式提出，或质疑书主要内容构成不完整的；</w:t>
      </w:r>
    </w:p>
    <w:p w14:paraId="2D2E6A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（5）质疑书没有合法有效的签字、盖章或授权的；</w:t>
      </w:r>
    </w:p>
    <w:p w14:paraId="7040E0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（6）以非法手段取得证据、材料的；</w:t>
      </w:r>
    </w:p>
    <w:p w14:paraId="3EAA12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（7）质疑答复后，同一质疑人就同一事项再次提出质疑的；</w:t>
      </w:r>
    </w:p>
    <w:p w14:paraId="2ACAB9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（8）不符合法律、法规、规章和监管机构规定的其他条件的。</w:t>
      </w:r>
    </w:p>
    <w:p w14:paraId="4BA46C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2.4、采购代理机构或采购人将在收到书面质疑后7个工作日内做出答复，并以书面形式通知质疑人和其他有关供应商。</w:t>
      </w:r>
    </w:p>
    <w:p w14:paraId="650AF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2.5、质疑人对采购代理机构或采购人的答复不满意，以及采购代理机构或采购人未在规定时间内做出答复的，可以在答复期满后15个工作日内按照《政府采购质疑和投诉办法》（财政部94号令）相关规定向政府采购监管机构提出投诉。供应商投诉的事项不得超出已质疑事项的范围。</w:t>
      </w:r>
    </w:p>
    <w:p w14:paraId="244376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2.6、对捏造事实、提供虚假材料进行质疑、投诉的行为予以严肃处理：</w:t>
      </w:r>
    </w:p>
    <w:p w14:paraId="0CC63A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336383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2.7、对捏造事实诬告陷害他人、诽谤他人的法律适用：</w:t>
      </w:r>
    </w:p>
    <w:p w14:paraId="4316F3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35B5F6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7DD7EB6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十</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二</w:t>
      </w:r>
      <w:r>
        <w:rPr>
          <w:rFonts w:hint="eastAsia" w:ascii="宋体" w:hAnsi="宋体" w:eastAsia="宋体" w:cs="宋体"/>
          <w:color w:val="000000" w:themeColor="text1"/>
          <w:kern w:val="0"/>
          <w:sz w:val="28"/>
          <w:szCs w:val="28"/>
          <w:highlight w:val="none"/>
          <w14:textFill>
            <w14:solidFill>
              <w14:schemeClr w14:val="tx1"/>
            </w14:solidFill>
          </w14:textFill>
        </w:rPr>
        <w:t>、拒绝商业贿赂</w:t>
      </w:r>
      <w:bookmarkEnd w:id="53"/>
      <w:bookmarkEnd w:id="54"/>
      <w:bookmarkEnd w:id="55"/>
    </w:p>
    <w:p w14:paraId="5B6901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1、遵照陕西省财政厅的规定，采购人、采购代理机构、供应商和评审专家在招投标活动中，都要签订相应的《陕西省政府采购供应商拒绝政府采购领域商业贿赂承诺书》，并对违反承诺的行为承担全部责任。</w:t>
      </w:r>
    </w:p>
    <w:p w14:paraId="7149BD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32"/>
          <w:szCs w:val="32"/>
          <w:highlight w:val="none"/>
        </w:rPr>
      </w:pPr>
      <w:r>
        <w:rPr>
          <w:rFonts w:hint="eastAsia" w:ascii="宋体" w:hAnsi="宋体" w:eastAsia="宋体" w:cs="宋体"/>
          <w:color w:val="000000" w:themeColor="text1"/>
          <w:szCs w:val="24"/>
          <w:highlight w:val="none"/>
          <w14:textFill>
            <w14:solidFill>
              <w14:schemeClr w14:val="tx1"/>
            </w14:solidFill>
          </w14:textFill>
        </w:rPr>
        <w:t>2、供应商必须填写《陕西省政府采购供应商拒绝政府采购领域商业贿赂承诺书》并附在响应文件中，同时应保证响应文件正、副本中一致。</w:t>
      </w:r>
      <w:bookmarkStart w:id="56" w:name="_Toc458617746"/>
      <w:bookmarkStart w:id="57" w:name="_Toc458617469"/>
    </w:p>
    <w:p w14:paraId="062E7192">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bookmarkStart w:id="58" w:name="_Toc129703222"/>
      <w:bookmarkStart w:id="59" w:name="_Toc8058"/>
      <w:bookmarkStart w:id="60" w:name="_Toc19316"/>
    </w:p>
    <w:p w14:paraId="35037002">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535416B1">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57D8EEC6">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522F5C78">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41A36E52">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16D132FA">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6ABEC0CE">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36020135">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3EBFEE08">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0CD877BC">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2A9C2DFF">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6CADFFA7">
      <w:pPr>
        <w:tabs>
          <w:tab w:val="left" w:pos="1245"/>
        </w:tabs>
        <w:jc w:val="center"/>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236A644B">
      <w:pPr>
        <w:tabs>
          <w:tab w:val="left" w:pos="1245"/>
        </w:tabs>
        <w:jc w:val="both"/>
        <w:outlineLvl w:val="0"/>
        <w:rPr>
          <w:rFonts w:hint="eastAsia" w:ascii="宋体" w:hAnsi="宋体" w:eastAsia="宋体" w:cs="宋体"/>
          <w:b/>
          <w:bCs/>
          <w:color w:val="000000" w:themeColor="text1"/>
          <w:kern w:val="0"/>
          <w:sz w:val="36"/>
          <w:szCs w:val="36"/>
          <w:highlight w:val="none"/>
          <w14:textFill>
            <w14:solidFill>
              <w14:schemeClr w14:val="tx1"/>
            </w14:solidFill>
          </w14:textFill>
        </w:rPr>
      </w:pPr>
    </w:p>
    <w:p w14:paraId="5A525D74">
      <w:pPr>
        <w:tabs>
          <w:tab w:val="left" w:pos="1245"/>
        </w:tabs>
        <w:jc w:val="center"/>
        <w:outlineLvl w:val="0"/>
        <w:rPr>
          <w:rFonts w:ascii="宋体" w:hAnsi="宋体" w:eastAsia="宋体" w:cs="宋体"/>
          <w:b/>
          <w:kern w:val="0"/>
          <w:sz w:val="32"/>
          <w:szCs w:val="32"/>
          <w:highlight w:val="none"/>
        </w:rPr>
      </w:pPr>
      <w:r>
        <w:rPr>
          <w:rFonts w:hint="eastAsia" w:ascii="宋体" w:hAnsi="宋体" w:eastAsia="宋体" w:cs="宋体"/>
          <w:b/>
          <w:bCs/>
          <w:color w:val="000000" w:themeColor="text1"/>
          <w:kern w:val="0"/>
          <w:sz w:val="36"/>
          <w:szCs w:val="36"/>
          <w:highlight w:val="none"/>
          <w14:textFill>
            <w14:solidFill>
              <w14:schemeClr w14:val="tx1"/>
            </w14:solidFill>
          </w14:textFill>
        </w:rPr>
        <w:t xml:space="preserve">第三章  </w:t>
      </w:r>
      <w:bookmarkEnd w:id="58"/>
      <w:bookmarkEnd w:id="59"/>
      <w:r>
        <w:rPr>
          <w:rFonts w:hint="eastAsia" w:ascii="宋体" w:hAnsi="宋体" w:eastAsia="宋体" w:cs="宋体"/>
          <w:b/>
          <w:bCs/>
          <w:color w:val="000000" w:themeColor="text1"/>
          <w:kern w:val="0"/>
          <w:sz w:val="36"/>
          <w:szCs w:val="36"/>
          <w:highlight w:val="none"/>
          <w14:textFill>
            <w14:solidFill>
              <w14:schemeClr w14:val="tx1"/>
            </w14:solidFill>
          </w14:textFill>
        </w:rPr>
        <w:t>采购内容及要求</w:t>
      </w:r>
      <w:bookmarkEnd w:id="56"/>
      <w:bookmarkEnd w:id="57"/>
      <w:bookmarkEnd w:id="60"/>
    </w:p>
    <w:p w14:paraId="48BDDD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Cs w:val="24"/>
          <w:highlight w:val="none"/>
          <w:lang w:val="en-US" w:eastAsia="zh-CN"/>
          <w14:textFill>
            <w14:solidFill>
              <w14:schemeClr w14:val="tx1"/>
            </w14:solidFill>
          </w14:textFill>
        </w:rPr>
      </w:pPr>
      <w:bookmarkStart w:id="61" w:name="_Toc13824"/>
      <w:bookmarkStart w:id="62" w:name="_Toc129703223"/>
      <w:r>
        <w:rPr>
          <w:rFonts w:hint="eastAsia" w:ascii="宋体" w:hAnsi="宋体" w:eastAsia="宋体" w:cs="宋体"/>
          <w:b/>
          <w:bCs/>
          <w:color w:val="000000" w:themeColor="text1"/>
          <w:szCs w:val="24"/>
          <w:highlight w:val="none"/>
          <w:lang w:val="en-US" w:eastAsia="zh-CN"/>
          <w14:textFill>
            <w14:solidFill>
              <w14:schemeClr w14:val="tx1"/>
            </w14:solidFill>
          </w14:textFill>
        </w:rPr>
        <w:t>一</w:t>
      </w:r>
      <w:r>
        <w:rPr>
          <w:rFonts w:hint="eastAsia" w:ascii="宋体" w:hAnsi="宋体" w:eastAsia="宋体" w:cs="宋体"/>
          <w:b/>
          <w:bCs/>
          <w:color w:val="000000" w:themeColor="text1"/>
          <w:szCs w:val="24"/>
          <w:highlight w:val="none"/>
          <w14:textFill>
            <w14:solidFill>
              <w14:schemeClr w14:val="tx1"/>
            </w14:solidFill>
          </w14:textFill>
        </w:rPr>
        <w:t>、</w:t>
      </w:r>
      <w:r>
        <w:rPr>
          <w:rFonts w:hint="eastAsia" w:ascii="宋体" w:hAnsi="宋体" w:eastAsia="宋体" w:cs="宋体"/>
          <w:b/>
          <w:bCs/>
          <w:color w:val="000000" w:themeColor="text1"/>
          <w:szCs w:val="24"/>
          <w:highlight w:val="none"/>
          <w:lang w:val="en-US" w:eastAsia="zh-CN"/>
          <w14:textFill>
            <w14:solidFill>
              <w14:schemeClr w14:val="tx1"/>
            </w14:solidFill>
          </w14:textFill>
        </w:rPr>
        <w:t>采购内容</w:t>
      </w:r>
    </w:p>
    <w:p w14:paraId="12F6500E">
      <w:pPr>
        <w:keepNext w:val="0"/>
        <w:keepLines w:val="0"/>
        <w:pageBreakBefore w:val="0"/>
        <w:widowControl w:val="0"/>
        <w:kinsoku/>
        <w:wordWrap/>
        <w:overflowPunct/>
        <w:topLinePunct w:val="0"/>
        <w:autoSpaceDE/>
        <w:autoSpaceDN/>
        <w:bidi w:val="0"/>
        <w:adjustRightInd/>
        <w:snapToGrid/>
        <w:spacing w:line="550" w:lineRule="exact"/>
        <w:ind w:firstLine="480" w:firstLineChars="200"/>
        <w:textAlignment w:val="auto"/>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新建14处农灌井取水“以电折水”在线监测样本井设施安装和设备调试、平台对接以电折水系数测算等技术服务工作，新建取水口标识牌190个，含标志牌制作安装。</w:t>
      </w:r>
    </w:p>
    <w:p w14:paraId="7EE2BD1F">
      <w:pPr>
        <w:keepNext w:val="0"/>
        <w:keepLines w:val="0"/>
        <w:pageBreakBefore w:val="0"/>
        <w:widowControl w:val="0"/>
        <w:kinsoku/>
        <w:wordWrap/>
        <w:overflowPunct/>
        <w:topLinePunct w:val="0"/>
        <w:autoSpaceDE/>
        <w:autoSpaceDN/>
        <w:bidi w:val="0"/>
        <w:adjustRightInd/>
        <w:snapToGrid/>
        <w:spacing w:line="550" w:lineRule="exact"/>
        <w:ind w:firstLine="482" w:firstLineChars="200"/>
        <w:textAlignment w:val="auto"/>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2"/>
          <w:sz w:val="24"/>
          <w:szCs w:val="24"/>
          <w:highlight w:val="none"/>
          <w14:textFill>
            <w14:solidFill>
              <w14:schemeClr w14:val="tx1"/>
            </w14:solidFill>
          </w14:textFill>
        </w:rPr>
        <w:t>备注：</w:t>
      </w:r>
      <w:r>
        <w:rPr>
          <w:rFonts w:hint="eastAsia" w:ascii="宋体" w:hAnsi="宋体" w:eastAsia="宋体" w:cs="宋体"/>
          <w:b/>
          <w:color w:val="000000" w:themeColor="text1"/>
          <w:sz w:val="24"/>
          <w:szCs w:val="24"/>
          <w:highlight w:val="none"/>
          <w14:textFill>
            <w14:solidFill>
              <w14:schemeClr w14:val="tx1"/>
            </w14:solidFill>
          </w14:textFill>
        </w:rPr>
        <w:t>本项目为交钥匙</w:t>
      </w:r>
      <w:r>
        <w:rPr>
          <w:rFonts w:hint="eastAsia" w:ascii="宋体" w:hAnsi="宋体" w:eastAsia="宋体" w:cs="宋体"/>
          <w:b/>
          <w:color w:val="000000" w:themeColor="text1"/>
          <w:sz w:val="24"/>
          <w:szCs w:val="24"/>
          <w:highlight w:val="none"/>
          <w:lang w:eastAsia="zh-CN"/>
          <w14:textFill>
            <w14:solidFill>
              <w14:schemeClr w14:val="tx1"/>
            </w14:solidFill>
          </w14:textFill>
        </w:rPr>
        <w:t>项目</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eastAsia="zh-CN"/>
          <w14:textFill>
            <w14:solidFill>
              <w14:schemeClr w14:val="tx1"/>
            </w14:solidFill>
          </w14:textFill>
        </w:rPr>
        <w:t>采购的系统需保证与</w:t>
      </w:r>
      <w:r>
        <w:rPr>
          <w:rFonts w:hint="eastAsia" w:ascii="宋体" w:hAnsi="宋体" w:eastAsia="宋体" w:cs="宋体"/>
          <w:b/>
          <w:color w:val="000000" w:themeColor="text1"/>
          <w:sz w:val="24"/>
          <w:szCs w:val="24"/>
          <w:highlight w:val="none"/>
          <w14:textFill>
            <w14:solidFill>
              <w14:schemeClr w14:val="tx1"/>
            </w14:solidFill>
          </w14:textFill>
        </w:rPr>
        <w:t>水资源国控平台及国网陕西电力公司大数据平台</w:t>
      </w:r>
      <w:r>
        <w:rPr>
          <w:rFonts w:hint="eastAsia" w:ascii="宋体" w:hAnsi="宋体" w:eastAsia="宋体" w:cs="宋体"/>
          <w:b/>
          <w:color w:val="000000" w:themeColor="text1"/>
          <w:sz w:val="24"/>
          <w:szCs w:val="24"/>
          <w:highlight w:val="none"/>
          <w:lang w:val="en-US" w:eastAsia="zh-CN"/>
          <w14:textFill>
            <w14:solidFill>
              <w14:schemeClr w14:val="tx1"/>
            </w14:solidFill>
          </w14:textFill>
        </w:rPr>
        <w:t>信息</w:t>
      </w:r>
      <w:r>
        <w:rPr>
          <w:rFonts w:hint="eastAsia" w:ascii="宋体" w:hAnsi="宋体" w:eastAsia="宋体" w:cs="宋体"/>
          <w:b/>
          <w:color w:val="000000" w:themeColor="text1"/>
          <w:sz w:val="24"/>
          <w:szCs w:val="24"/>
          <w:highlight w:val="none"/>
          <w:lang w:eastAsia="zh-CN"/>
          <w14:textFill>
            <w14:solidFill>
              <w14:schemeClr w14:val="tx1"/>
            </w14:solidFill>
          </w14:textFill>
        </w:rPr>
        <w:t>系统无缝对接，所有数据互联互通，确保系统设备正常运行及使用。</w:t>
      </w:r>
    </w:p>
    <w:p w14:paraId="4054540D">
      <w:pPr>
        <w:keepNext w:val="0"/>
        <w:keepLines w:val="0"/>
        <w:pageBreakBefore w:val="0"/>
        <w:widowControl w:val="0"/>
        <w:kinsoku/>
        <w:wordWrap/>
        <w:overflowPunct/>
        <w:topLinePunct w:val="0"/>
        <w:autoSpaceDE/>
        <w:autoSpaceDN/>
        <w:bidi w:val="0"/>
        <w:adjustRightInd/>
        <w:snapToGrid/>
        <w:spacing w:line="550" w:lineRule="exact"/>
        <w:ind w:firstLine="482" w:firstLineChars="200"/>
        <w:jc w:val="center"/>
        <w:textAlignment w:val="auto"/>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农灌井取水“以电折水”在线监测样本井机电设备配置</w:t>
      </w:r>
      <w:bookmarkStart w:id="63" w:name="_Toc12377"/>
      <w:bookmarkEnd w:id="63"/>
      <w:bookmarkStart w:id="64" w:name="_Toc18997"/>
      <w:bookmarkEnd w:id="64"/>
    </w:p>
    <w:tbl>
      <w:tblPr>
        <w:tblStyle w:val="37"/>
        <w:tblW w:w="93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4151"/>
        <w:gridCol w:w="1310"/>
        <w:gridCol w:w="1310"/>
        <w:gridCol w:w="1310"/>
      </w:tblGrid>
      <w:tr w14:paraId="6617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60883CE">
            <w:pPr>
              <w:widowControl/>
              <w:snapToGrid w:val="0"/>
              <w:spacing w:line="360" w:lineRule="auto"/>
              <w:ind w:left="0" w:leftChars="0" w:right="0" w:rightChars="0" w:firstLine="0" w:firstLineChars="0"/>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序号</w:t>
            </w:r>
          </w:p>
        </w:tc>
        <w:tc>
          <w:tcPr>
            <w:tcW w:w="0" w:type="auto"/>
            <w:tcBorders>
              <w:top w:val="single" w:color="auto" w:sz="4" w:space="0"/>
              <w:left w:val="nil"/>
              <w:bottom w:val="single" w:color="auto" w:sz="4" w:space="0"/>
              <w:right w:val="single" w:color="auto" w:sz="4" w:space="0"/>
            </w:tcBorders>
            <w:noWrap w:val="0"/>
            <w:vAlign w:val="center"/>
          </w:tcPr>
          <w:p w14:paraId="7367EA56">
            <w:pPr>
              <w:widowControl/>
              <w:snapToGrid w:val="0"/>
              <w:spacing w:line="360" w:lineRule="auto"/>
              <w:ind w:left="0" w:leftChars="0" w:right="0" w:rightChars="0" w:firstLine="0" w:firstLineChars="0"/>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设备名称</w:t>
            </w:r>
          </w:p>
        </w:tc>
        <w:tc>
          <w:tcPr>
            <w:tcW w:w="1310" w:type="dxa"/>
            <w:tcBorders>
              <w:top w:val="single" w:color="auto" w:sz="4" w:space="0"/>
              <w:left w:val="nil"/>
              <w:bottom w:val="single" w:color="auto" w:sz="4" w:space="0"/>
              <w:right w:val="single" w:color="auto" w:sz="4" w:space="0"/>
            </w:tcBorders>
            <w:noWrap w:val="0"/>
            <w:vAlign w:val="center"/>
          </w:tcPr>
          <w:p w14:paraId="32872209">
            <w:pPr>
              <w:widowControl/>
              <w:snapToGrid w:val="0"/>
              <w:spacing w:line="360" w:lineRule="auto"/>
              <w:ind w:left="0" w:leftChars="0" w:right="0" w:rightChars="0" w:firstLine="0" w:firstLineChars="0"/>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单位</w:t>
            </w:r>
          </w:p>
        </w:tc>
        <w:tc>
          <w:tcPr>
            <w:tcW w:w="1310" w:type="dxa"/>
            <w:tcBorders>
              <w:top w:val="single" w:color="auto" w:sz="4" w:space="0"/>
              <w:left w:val="nil"/>
              <w:bottom w:val="single" w:color="auto" w:sz="4" w:space="0"/>
              <w:right w:val="single" w:color="auto" w:sz="4" w:space="0"/>
            </w:tcBorders>
            <w:noWrap w:val="0"/>
            <w:vAlign w:val="center"/>
          </w:tcPr>
          <w:p w14:paraId="10D55156">
            <w:pPr>
              <w:widowControl/>
              <w:snapToGrid w:val="0"/>
              <w:spacing w:line="360" w:lineRule="auto"/>
              <w:ind w:left="0" w:leftChars="0" w:right="0" w:rightChars="0" w:firstLine="0" w:firstLineChars="0"/>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数量</w:t>
            </w:r>
          </w:p>
        </w:tc>
        <w:tc>
          <w:tcPr>
            <w:tcW w:w="1310" w:type="dxa"/>
            <w:tcBorders>
              <w:top w:val="single" w:color="auto" w:sz="4" w:space="0"/>
              <w:left w:val="nil"/>
              <w:bottom w:val="single" w:color="auto" w:sz="4" w:space="0"/>
              <w:right w:val="single" w:color="auto" w:sz="4" w:space="0"/>
            </w:tcBorders>
            <w:noWrap w:val="0"/>
            <w:vAlign w:val="center"/>
          </w:tcPr>
          <w:p w14:paraId="48211B92">
            <w:pPr>
              <w:widowControl/>
              <w:snapToGrid w:val="0"/>
              <w:spacing w:line="360" w:lineRule="auto"/>
              <w:ind w:left="0" w:leftChars="0" w:right="0" w:rightChars="0" w:firstLine="0" w:firstLineChars="0"/>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备注</w:t>
            </w:r>
          </w:p>
        </w:tc>
      </w:tr>
      <w:tr w14:paraId="5E4D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07D3873B">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0" w:type="auto"/>
            <w:tcBorders>
              <w:top w:val="single" w:color="auto" w:sz="4" w:space="0"/>
              <w:left w:val="nil"/>
              <w:bottom w:val="single" w:color="auto" w:sz="4" w:space="0"/>
              <w:right w:val="single" w:color="auto" w:sz="4" w:space="0"/>
            </w:tcBorders>
            <w:noWrap w:val="0"/>
            <w:vAlign w:val="center"/>
          </w:tcPr>
          <w:p w14:paraId="59A92A36">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电子远传水表</w:t>
            </w:r>
          </w:p>
        </w:tc>
        <w:tc>
          <w:tcPr>
            <w:tcW w:w="1310" w:type="dxa"/>
            <w:tcBorders>
              <w:top w:val="single" w:color="auto" w:sz="4" w:space="0"/>
              <w:left w:val="nil"/>
              <w:bottom w:val="single" w:color="auto" w:sz="4" w:space="0"/>
              <w:right w:val="single" w:color="auto" w:sz="4" w:space="0"/>
            </w:tcBorders>
            <w:noWrap w:val="0"/>
            <w:vAlign w:val="center"/>
          </w:tcPr>
          <w:p w14:paraId="5DD9D2CF">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台</w:t>
            </w:r>
          </w:p>
        </w:tc>
        <w:tc>
          <w:tcPr>
            <w:tcW w:w="1310" w:type="dxa"/>
            <w:tcBorders>
              <w:top w:val="single" w:color="auto" w:sz="4" w:space="0"/>
              <w:left w:val="nil"/>
              <w:bottom w:val="single" w:color="auto" w:sz="4" w:space="0"/>
              <w:right w:val="single" w:color="auto" w:sz="4" w:space="0"/>
            </w:tcBorders>
            <w:noWrap w:val="0"/>
            <w:vAlign w:val="center"/>
          </w:tcPr>
          <w:p w14:paraId="618CF74A">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4D0A40CD">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r w14:paraId="7E52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011726C6">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p>
        </w:tc>
        <w:tc>
          <w:tcPr>
            <w:tcW w:w="0" w:type="auto"/>
            <w:tcBorders>
              <w:top w:val="single" w:color="auto" w:sz="4" w:space="0"/>
              <w:left w:val="nil"/>
              <w:bottom w:val="single" w:color="auto" w:sz="4" w:space="0"/>
              <w:right w:val="single" w:color="auto" w:sz="4" w:space="0"/>
            </w:tcBorders>
            <w:noWrap w:val="0"/>
            <w:vAlign w:val="center"/>
          </w:tcPr>
          <w:p w14:paraId="3F705B30">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静压投入式水位计</w:t>
            </w:r>
          </w:p>
        </w:tc>
        <w:tc>
          <w:tcPr>
            <w:tcW w:w="1310" w:type="dxa"/>
            <w:tcBorders>
              <w:top w:val="single" w:color="auto" w:sz="4" w:space="0"/>
              <w:left w:val="nil"/>
              <w:bottom w:val="single" w:color="auto" w:sz="4" w:space="0"/>
              <w:right w:val="single" w:color="auto" w:sz="4" w:space="0"/>
            </w:tcBorders>
            <w:noWrap w:val="0"/>
            <w:vAlign w:val="center"/>
          </w:tcPr>
          <w:p w14:paraId="377448B4">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台</w:t>
            </w:r>
          </w:p>
        </w:tc>
        <w:tc>
          <w:tcPr>
            <w:tcW w:w="1310" w:type="dxa"/>
            <w:tcBorders>
              <w:top w:val="single" w:color="auto" w:sz="4" w:space="0"/>
              <w:left w:val="nil"/>
              <w:bottom w:val="single" w:color="auto" w:sz="4" w:space="0"/>
              <w:right w:val="single" w:color="auto" w:sz="4" w:space="0"/>
            </w:tcBorders>
            <w:noWrap w:val="0"/>
            <w:vAlign w:val="center"/>
          </w:tcPr>
          <w:p w14:paraId="06C2CB80">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4EB19E73">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r w14:paraId="5D54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E61B608">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w:t>
            </w:r>
          </w:p>
        </w:tc>
        <w:tc>
          <w:tcPr>
            <w:tcW w:w="0" w:type="auto"/>
            <w:tcBorders>
              <w:top w:val="single" w:color="auto" w:sz="4" w:space="0"/>
              <w:left w:val="nil"/>
              <w:bottom w:val="single" w:color="auto" w:sz="4" w:space="0"/>
              <w:right w:val="single" w:color="auto" w:sz="4" w:space="0"/>
            </w:tcBorders>
            <w:noWrap w:val="0"/>
            <w:vAlign w:val="center"/>
          </w:tcPr>
          <w:p w14:paraId="70625869">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压力传感器</w:t>
            </w:r>
          </w:p>
        </w:tc>
        <w:tc>
          <w:tcPr>
            <w:tcW w:w="1310" w:type="dxa"/>
            <w:tcBorders>
              <w:top w:val="single" w:color="auto" w:sz="4" w:space="0"/>
              <w:left w:val="nil"/>
              <w:bottom w:val="single" w:color="auto" w:sz="4" w:space="0"/>
              <w:right w:val="single" w:color="auto" w:sz="4" w:space="0"/>
            </w:tcBorders>
            <w:noWrap w:val="0"/>
            <w:vAlign w:val="center"/>
          </w:tcPr>
          <w:p w14:paraId="501E0E5B">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台</w:t>
            </w:r>
          </w:p>
        </w:tc>
        <w:tc>
          <w:tcPr>
            <w:tcW w:w="1310" w:type="dxa"/>
            <w:tcBorders>
              <w:top w:val="single" w:color="auto" w:sz="4" w:space="0"/>
              <w:left w:val="nil"/>
              <w:bottom w:val="single" w:color="auto" w:sz="4" w:space="0"/>
              <w:right w:val="single" w:color="auto" w:sz="4" w:space="0"/>
            </w:tcBorders>
            <w:noWrap w:val="0"/>
            <w:vAlign w:val="center"/>
          </w:tcPr>
          <w:p w14:paraId="1FBB6A4A">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7781C232">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r w14:paraId="22AC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65B31A31">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w:t>
            </w:r>
          </w:p>
        </w:tc>
        <w:tc>
          <w:tcPr>
            <w:tcW w:w="0" w:type="auto"/>
            <w:tcBorders>
              <w:top w:val="single" w:color="auto" w:sz="4" w:space="0"/>
              <w:left w:val="nil"/>
              <w:bottom w:val="single" w:color="auto" w:sz="4" w:space="0"/>
              <w:right w:val="single" w:color="auto" w:sz="4" w:space="0"/>
            </w:tcBorders>
            <w:noWrap w:val="0"/>
            <w:vAlign w:val="center"/>
          </w:tcPr>
          <w:p w14:paraId="5C4DF70B">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遥测终端机</w:t>
            </w:r>
          </w:p>
        </w:tc>
        <w:tc>
          <w:tcPr>
            <w:tcW w:w="1310" w:type="dxa"/>
            <w:tcBorders>
              <w:top w:val="single" w:color="auto" w:sz="4" w:space="0"/>
              <w:left w:val="nil"/>
              <w:bottom w:val="single" w:color="auto" w:sz="4" w:space="0"/>
              <w:right w:val="single" w:color="auto" w:sz="4" w:space="0"/>
            </w:tcBorders>
            <w:noWrap w:val="0"/>
            <w:vAlign w:val="center"/>
          </w:tcPr>
          <w:p w14:paraId="77538DC8">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台</w:t>
            </w:r>
          </w:p>
        </w:tc>
        <w:tc>
          <w:tcPr>
            <w:tcW w:w="1310" w:type="dxa"/>
            <w:tcBorders>
              <w:top w:val="single" w:color="auto" w:sz="4" w:space="0"/>
              <w:left w:val="nil"/>
              <w:bottom w:val="single" w:color="auto" w:sz="4" w:space="0"/>
              <w:right w:val="single" w:color="auto" w:sz="4" w:space="0"/>
            </w:tcBorders>
            <w:noWrap w:val="0"/>
            <w:vAlign w:val="center"/>
          </w:tcPr>
          <w:p w14:paraId="41B7061A">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01823B3E">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r w14:paraId="14AF6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7C9D1FF">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5</w:t>
            </w:r>
          </w:p>
        </w:tc>
        <w:tc>
          <w:tcPr>
            <w:tcW w:w="0" w:type="auto"/>
            <w:tcBorders>
              <w:top w:val="single" w:color="auto" w:sz="4" w:space="0"/>
              <w:left w:val="nil"/>
              <w:bottom w:val="single" w:color="auto" w:sz="4" w:space="0"/>
              <w:right w:val="single" w:color="auto" w:sz="4" w:space="0"/>
            </w:tcBorders>
            <w:noWrap w:val="0"/>
            <w:vAlign w:val="center"/>
          </w:tcPr>
          <w:p w14:paraId="4ED40372">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充电控制器</w:t>
            </w:r>
          </w:p>
        </w:tc>
        <w:tc>
          <w:tcPr>
            <w:tcW w:w="1310" w:type="dxa"/>
            <w:tcBorders>
              <w:top w:val="single" w:color="auto" w:sz="4" w:space="0"/>
              <w:left w:val="nil"/>
              <w:bottom w:val="single" w:color="auto" w:sz="4" w:space="0"/>
              <w:right w:val="single" w:color="auto" w:sz="4" w:space="0"/>
            </w:tcBorders>
            <w:noWrap w:val="0"/>
            <w:vAlign w:val="center"/>
          </w:tcPr>
          <w:p w14:paraId="11C74BAC">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台</w:t>
            </w:r>
          </w:p>
        </w:tc>
        <w:tc>
          <w:tcPr>
            <w:tcW w:w="1310" w:type="dxa"/>
            <w:tcBorders>
              <w:top w:val="single" w:color="auto" w:sz="4" w:space="0"/>
              <w:left w:val="nil"/>
              <w:bottom w:val="single" w:color="auto" w:sz="4" w:space="0"/>
              <w:right w:val="single" w:color="auto" w:sz="4" w:space="0"/>
            </w:tcBorders>
            <w:noWrap w:val="0"/>
            <w:vAlign w:val="center"/>
          </w:tcPr>
          <w:p w14:paraId="0C2F9BDF">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6E76E1F0">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r w14:paraId="71C7C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5863B728">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6</w:t>
            </w:r>
          </w:p>
        </w:tc>
        <w:tc>
          <w:tcPr>
            <w:tcW w:w="0" w:type="auto"/>
            <w:tcBorders>
              <w:top w:val="single" w:color="auto" w:sz="4" w:space="0"/>
              <w:left w:val="nil"/>
              <w:bottom w:val="single" w:color="auto" w:sz="4" w:space="0"/>
              <w:right w:val="single" w:color="auto" w:sz="4" w:space="0"/>
            </w:tcBorders>
            <w:noWrap w:val="0"/>
            <w:vAlign w:val="center"/>
          </w:tcPr>
          <w:p w14:paraId="07D4A625">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蓄电池</w:t>
            </w:r>
          </w:p>
        </w:tc>
        <w:tc>
          <w:tcPr>
            <w:tcW w:w="1310" w:type="dxa"/>
            <w:tcBorders>
              <w:top w:val="single" w:color="auto" w:sz="4" w:space="0"/>
              <w:left w:val="nil"/>
              <w:bottom w:val="single" w:color="auto" w:sz="4" w:space="0"/>
              <w:right w:val="single" w:color="auto" w:sz="4" w:space="0"/>
            </w:tcBorders>
            <w:noWrap w:val="0"/>
            <w:vAlign w:val="center"/>
          </w:tcPr>
          <w:p w14:paraId="0EF23647">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台</w:t>
            </w:r>
          </w:p>
        </w:tc>
        <w:tc>
          <w:tcPr>
            <w:tcW w:w="1310" w:type="dxa"/>
            <w:tcBorders>
              <w:top w:val="single" w:color="auto" w:sz="4" w:space="0"/>
              <w:left w:val="nil"/>
              <w:bottom w:val="single" w:color="auto" w:sz="4" w:space="0"/>
              <w:right w:val="single" w:color="auto" w:sz="4" w:space="0"/>
            </w:tcBorders>
            <w:noWrap w:val="0"/>
            <w:vAlign w:val="center"/>
          </w:tcPr>
          <w:p w14:paraId="5FC07042">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11EA16BF">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r w14:paraId="3412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4B2166DA">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7</w:t>
            </w:r>
          </w:p>
        </w:tc>
        <w:tc>
          <w:tcPr>
            <w:tcW w:w="0" w:type="auto"/>
            <w:tcBorders>
              <w:top w:val="single" w:color="auto" w:sz="4" w:space="0"/>
              <w:left w:val="nil"/>
              <w:bottom w:val="single" w:color="auto" w:sz="4" w:space="0"/>
              <w:right w:val="single" w:color="auto" w:sz="4" w:space="0"/>
            </w:tcBorders>
            <w:noWrap w:val="0"/>
            <w:vAlign w:val="center"/>
          </w:tcPr>
          <w:p w14:paraId="2D4B4E78">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防雷系统</w:t>
            </w:r>
          </w:p>
        </w:tc>
        <w:tc>
          <w:tcPr>
            <w:tcW w:w="1310" w:type="dxa"/>
            <w:tcBorders>
              <w:top w:val="single" w:color="auto" w:sz="4" w:space="0"/>
              <w:left w:val="nil"/>
              <w:bottom w:val="single" w:color="auto" w:sz="4" w:space="0"/>
              <w:right w:val="single" w:color="auto" w:sz="4" w:space="0"/>
            </w:tcBorders>
            <w:noWrap w:val="0"/>
            <w:vAlign w:val="center"/>
          </w:tcPr>
          <w:p w14:paraId="1D18DD32">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套</w:t>
            </w:r>
          </w:p>
        </w:tc>
        <w:tc>
          <w:tcPr>
            <w:tcW w:w="1310" w:type="dxa"/>
            <w:tcBorders>
              <w:top w:val="single" w:color="auto" w:sz="4" w:space="0"/>
              <w:left w:val="nil"/>
              <w:bottom w:val="single" w:color="auto" w:sz="4" w:space="0"/>
              <w:right w:val="single" w:color="auto" w:sz="4" w:space="0"/>
            </w:tcBorders>
            <w:noWrap w:val="0"/>
            <w:vAlign w:val="center"/>
          </w:tcPr>
          <w:p w14:paraId="6F4427DE">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1AE32CCF">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r w14:paraId="0153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09" w:type="dxa"/>
            <w:tcBorders>
              <w:top w:val="single" w:color="auto" w:sz="4" w:space="0"/>
              <w:left w:val="single" w:color="auto" w:sz="4" w:space="0"/>
              <w:bottom w:val="single" w:color="auto" w:sz="4" w:space="0"/>
              <w:right w:val="single" w:color="auto" w:sz="4" w:space="0"/>
            </w:tcBorders>
            <w:noWrap w:val="0"/>
            <w:vAlign w:val="center"/>
          </w:tcPr>
          <w:p w14:paraId="0C6BEB8A">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8</w:t>
            </w:r>
          </w:p>
        </w:tc>
        <w:tc>
          <w:tcPr>
            <w:tcW w:w="4151" w:type="dxa"/>
            <w:tcBorders>
              <w:top w:val="single" w:color="auto" w:sz="4" w:space="0"/>
              <w:left w:val="nil"/>
              <w:bottom w:val="single" w:color="auto" w:sz="4" w:space="0"/>
              <w:right w:val="single" w:color="auto" w:sz="4" w:space="0"/>
            </w:tcBorders>
            <w:noWrap w:val="0"/>
            <w:vAlign w:val="center"/>
          </w:tcPr>
          <w:p w14:paraId="013FF528">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管控机箱</w:t>
            </w:r>
          </w:p>
        </w:tc>
        <w:tc>
          <w:tcPr>
            <w:tcW w:w="1310" w:type="dxa"/>
            <w:tcBorders>
              <w:top w:val="single" w:color="auto" w:sz="4" w:space="0"/>
              <w:left w:val="nil"/>
              <w:bottom w:val="single" w:color="auto" w:sz="4" w:space="0"/>
              <w:right w:val="single" w:color="auto" w:sz="4" w:space="0"/>
            </w:tcBorders>
            <w:noWrap w:val="0"/>
            <w:vAlign w:val="center"/>
          </w:tcPr>
          <w:p w14:paraId="099E9CA9">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台</w:t>
            </w:r>
          </w:p>
        </w:tc>
        <w:tc>
          <w:tcPr>
            <w:tcW w:w="1310" w:type="dxa"/>
            <w:tcBorders>
              <w:top w:val="single" w:color="auto" w:sz="4" w:space="0"/>
              <w:left w:val="nil"/>
              <w:bottom w:val="single" w:color="auto" w:sz="4" w:space="0"/>
              <w:right w:val="single" w:color="auto" w:sz="4" w:space="0"/>
            </w:tcBorders>
            <w:noWrap w:val="0"/>
            <w:vAlign w:val="center"/>
          </w:tcPr>
          <w:p w14:paraId="4117AD66">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p>
        </w:tc>
        <w:tc>
          <w:tcPr>
            <w:tcW w:w="1310" w:type="dxa"/>
            <w:tcBorders>
              <w:top w:val="single" w:color="auto" w:sz="4" w:space="0"/>
              <w:left w:val="nil"/>
              <w:bottom w:val="single" w:color="auto" w:sz="4" w:space="0"/>
              <w:right w:val="single" w:color="auto" w:sz="4" w:space="0"/>
            </w:tcBorders>
            <w:noWrap w:val="0"/>
            <w:vAlign w:val="center"/>
          </w:tcPr>
          <w:p w14:paraId="5691C422">
            <w:pPr>
              <w:widowControl/>
              <w:snapToGrid w:val="0"/>
              <w:spacing w:line="360" w:lineRule="auto"/>
              <w:ind w:left="0" w:leftChars="0" w:right="0" w:rightChars="0" w:firstLine="0" w:firstLineChars="0"/>
              <w:jc w:val="center"/>
              <w:rPr>
                <w:rFonts w:hint="eastAsia" w:ascii="宋体" w:hAnsi="宋体" w:eastAsia="宋体" w:cs="宋体"/>
                <w:kern w:val="0"/>
                <w:sz w:val="24"/>
                <w:szCs w:val="24"/>
                <w:highlight w:val="none"/>
              </w:rPr>
            </w:pPr>
          </w:p>
        </w:tc>
      </w:tr>
    </w:tbl>
    <w:p w14:paraId="12F688E3">
      <w:pPr>
        <w:numPr>
          <w:ilvl w:val="0"/>
          <w:numId w:val="0"/>
        </w:numPr>
        <w:jc w:val="left"/>
        <w:rPr>
          <w:rFonts w:hint="default" w:ascii="宋体" w:hAnsi="宋体" w:eastAsia="宋体" w:cs="宋体"/>
          <w:b/>
          <w:bCs/>
          <w:color w:val="000000" w:themeColor="text1"/>
          <w:szCs w:val="24"/>
          <w:highlight w:val="none"/>
          <w:lang w:val="en-US" w:eastAsia="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二、</w:t>
      </w:r>
      <w:r>
        <w:rPr>
          <w:rFonts w:hint="eastAsia" w:ascii="宋体" w:hAnsi="宋体" w:eastAsia="宋体" w:cs="宋体"/>
          <w:b/>
          <w:bCs/>
          <w:sz w:val="24"/>
          <w:szCs w:val="24"/>
          <w:highlight w:val="none"/>
          <w:lang w:eastAsia="zh-CN"/>
        </w:rPr>
        <w:t>技术要求</w:t>
      </w:r>
    </w:p>
    <w:p w14:paraId="7E2CC867">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监测井选取依据</w:t>
      </w:r>
    </w:p>
    <w:p w14:paraId="06F9057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典型代表性原则监测点所选机井应具有地区代表性特征，机井基本情况符合当地机井普遍状况，机井的深、浅层数量应符合当地现存深、浅井数量比例。应具备固定的提水设备设施，且为该区域主流泵型。所选机井控制灌溉面积应具有一定的规模，原则上应在20亩以上。</w:t>
      </w:r>
    </w:p>
    <w:p w14:paraId="5A35B48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空间均衡性原则监测点所选机井在保证深、浅数量符合比例情况下，应充分考虑在该区域的空间分布特点，力求空间分布均匀。原则上按照各乡镇任务分配表逐个乡镇进行选点，保证项目区域所辖乡镇均有代表性机井选入。</w:t>
      </w:r>
    </w:p>
    <w:p w14:paraId="7EFB63E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（三）监测点所选典型机井、水泵、动力电缆、提水管道、输水管道等设备设施完好，且机井水电设备具有良好线性关系（非变频泵）。所选典型机井周边具备建设1m×1m的混凝土基座的空间条件，且同意占地。</w:t>
      </w:r>
    </w:p>
    <w:p w14:paraId="74608358">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（四）管理方便性原则考虑后期运行管理的方便性，原则上优选村集体所有或国家投资建设的项目区的机井。优先选择农业承包大户地块的灌溉机井，且井、泵长期使用并有专人看护，便于后期协调与对接。</w:t>
      </w:r>
    </w:p>
    <w:p w14:paraId="70A7E350">
      <w:pPr>
        <w:pStyle w:val="28"/>
        <w:keepNext w:val="0"/>
        <w:keepLines w:val="0"/>
        <w:pageBreakBefore w:val="0"/>
        <w:wordWrap/>
        <w:overflowPunct/>
        <w:topLinePunct w:val="0"/>
        <w:bidi w:val="0"/>
        <w:spacing w:line="560" w:lineRule="exact"/>
        <w:ind w:left="365" w:leftChars="152" w:firstLine="248" w:firstLineChars="103"/>
        <w:rPr>
          <w:rFonts w:hint="default"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系统功能实现</w:t>
      </w:r>
    </w:p>
    <w:p w14:paraId="01269312">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系统首先通过监测站点完成数据采集上报。传感器采集水量、电量、水位、水压等数据信号，并将信号传输到测控终端机（RTU），测控终端机（RTU）对采集的各类信号进行数据转换，并对转换后的数据进行储存、实时整理、报文生成等处理。通信模块将数据发送到水资源国控平台及国网陕西电力公司大数据平台，实现水资源管理部门通过系统实时查询各监测站点监测数据，了解用水情况。</w:t>
      </w:r>
    </w:p>
    <w:p w14:paraId="16481D7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数据采集</w:t>
      </w:r>
    </w:p>
    <w:p w14:paraId="375C8E2B">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default" w:asciiTheme="minorEastAsia" w:hAnsiTheme="minorEastAsia" w:cstheme="minorEastAsia"/>
          <w:color w:val="auto"/>
          <w:sz w:val="24"/>
          <w:szCs w:val="24"/>
          <w:highlight w:val="none"/>
          <w:lang w:val="en-US" w:eastAsia="zh-CN"/>
        </w:rPr>
      </w:pPr>
      <w:r>
        <w:rPr>
          <w:rFonts w:hint="default" w:asciiTheme="minorEastAsia" w:hAnsiTheme="minorEastAsia" w:cstheme="minorEastAsia"/>
          <w:color w:val="auto"/>
          <w:sz w:val="24"/>
          <w:szCs w:val="24"/>
          <w:highlight w:val="none"/>
          <w:lang w:val="en-US" w:eastAsia="zh-CN"/>
        </w:rPr>
        <w:t>主要依靠电子远传水表测取水量（或流量）、以电表测取电量、以水位计测取水位信息、以压力传感器测取压力信息。</w:t>
      </w:r>
    </w:p>
    <w:p w14:paraId="2BA5272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数据传输</w:t>
      </w:r>
    </w:p>
    <w:p w14:paraId="460495E8">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default" w:asciiTheme="minorEastAsia" w:hAnsiTheme="minorEastAsia" w:cstheme="minorEastAsia"/>
          <w:color w:val="auto"/>
          <w:sz w:val="24"/>
          <w:szCs w:val="24"/>
          <w:highlight w:val="none"/>
          <w:lang w:val="en-US" w:eastAsia="zh-CN"/>
        </w:rPr>
      </w:pPr>
      <w:r>
        <w:rPr>
          <w:rFonts w:hint="default" w:asciiTheme="minorEastAsia" w:hAnsiTheme="minorEastAsia" w:cstheme="minorEastAsia"/>
          <w:color w:val="auto"/>
          <w:sz w:val="24"/>
          <w:szCs w:val="24"/>
          <w:highlight w:val="none"/>
          <w:lang w:val="en-US" w:eastAsia="zh-CN"/>
        </w:rPr>
        <w:t>项目使用4G/GPRS通信方式，符合《水资源监测数据传输规约》（SZY206-2021）。自动监测站具有备份信道，所配置的通信机应具有通信主备信道的自动切换。整个传输采用“一发两收”，需要传输到水资源国控平台及国网陕西电力公司大数据平台，信息采集频次为每日1次。</w:t>
      </w:r>
    </w:p>
    <w:p w14:paraId="5FFB86C4">
      <w:pPr>
        <w:pStyle w:val="28"/>
        <w:keepNext w:val="0"/>
        <w:keepLines w:val="0"/>
        <w:pageBreakBefore w:val="0"/>
        <w:wordWrap/>
        <w:overflowPunct/>
        <w:topLinePunct w:val="0"/>
        <w:bidi w:val="0"/>
        <w:spacing w:line="560" w:lineRule="exact"/>
        <w:ind w:left="365" w:leftChars="152" w:firstLine="248" w:firstLineChars="103"/>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重点服务要求</w:t>
      </w:r>
    </w:p>
    <w:p w14:paraId="5AF274A2">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480" w:leftChars="0" w:firstLine="0" w:firstLineChars="0"/>
        <w:textAlignment w:val="baseline"/>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设备须与水资源管理系统等平台对接接口，支持功能扩展和系统对接，满足水资源平台所需实时监控，用水统计，异常预警等功能实现。</w:t>
      </w:r>
    </w:p>
    <w:p w14:paraId="085629D1">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480" w:leftChars="0" w:firstLine="0" w:firstLineChars="0"/>
        <w:textAlignment w:val="baseline"/>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根据现场条件选择4G/NB-IoT/LoRa等通信方式，确保数据回传成功率≥99.5%。</w:t>
      </w:r>
    </w:p>
    <w:p w14:paraId="0BFA2004">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480" w:leftChars="0" w:firstLine="0" w:firstLineChars="0"/>
        <w:textAlignment w:val="baseline"/>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采用加密传输，支持区块链存证，确保数据不可篡改，满足《网络安全法》要求。</w:t>
      </w:r>
    </w:p>
    <w:p w14:paraId="31E5175D">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480" w:leftChars="0" w:firstLine="0" w:firstLineChars="0"/>
        <w:textAlignment w:val="baseline"/>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提供相关技术指导与培训，涵盖监测点布设、数据采集传输及系统运维等环节；协助运维单位建立定期巡检制度，每季度检查设备运行状态，及时更换蓄电池等易损件。</w:t>
      </w:r>
    </w:p>
    <w:p w14:paraId="4262D099">
      <w:pPr>
        <w:pStyle w:val="28"/>
        <w:keepNext w:val="0"/>
        <w:keepLines w:val="0"/>
        <w:pageBreakBefore w:val="0"/>
        <w:wordWrap/>
        <w:overflowPunct/>
        <w:topLinePunct w:val="0"/>
        <w:bidi w:val="0"/>
        <w:spacing w:line="560" w:lineRule="exact"/>
        <w:ind w:left="365" w:leftChars="152" w:firstLine="248" w:firstLineChars="103"/>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主要设备参数要求</w:t>
      </w:r>
      <w:bookmarkStart w:id="153" w:name="_GoBack"/>
      <w:bookmarkEnd w:id="153"/>
    </w:p>
    <w:p w14:paraId="33608E38">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eastAsiaTheme="minorEastAsia" w:cstheme="minorEastAsia"/>
          <w:b/>
          <w:bCs/>
          <w:color w:val="auto"/>
          <w:sz w:val="24"/>
          <w:szCs w:val="24"/>
          <w:highlight w:val="none"/>
          <w:lang w:val="en-US" w:eastAsia="zh-CN"/>
        </w:rPr>
      </w:pPr>
      <w:bookmarkStart w:id="65" w:name="_Toc18265"/>
      <w:bookmarkStart w:id="66" w:name="_Toc19446"/>
      <w:r>
        <w:rPr>
          <w:rFonts w:hint="eastAsia" w:asciiTheme="minorEastAsia" w:hAnsi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lang w:val="en-US" w:eastAsia="zh-CN"/>
        </w:rPr>
        <w:t>、</w:t>
      </w:r>
      <w:bookmarkEnd w:id="65"/>
      <w:r>
        <w:rPr>
          <w:rFonts w:hint="eastAsia" w:asciiTheme="minorEastAsia" w:hAnsiTheme="minorEastAsia" w:eastAsiaTheme="minorEastAsia" w:cstheme="minorEastAsia"/>
          <w:b/>
          <w:bCs/>
          <w:color w:val="auto"/>
          <w:sz w:val="24"/>
          <w:szCs w:val="24"/>
          <w:highlight w:val="none"/>
          <w:lang w:val="en-US" w:eastAsia="zh-CN"/>
        </w:rPr>
        <w:t>电子远传水表</w:t>
      </w:r>
    </w:p>
    <w:p w14:paraId="07F420D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1、规格:DN80、DN100、DN200</w:t>
      </w:r>
    </w:p>
    <w:p w14:paraId="4CB29168">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2、参数：</w:t>
      </w:r>
    </w:p>
    <w:p w14:paraId="2140F7F8">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2.1、水表壳：球墨铸铁</w:t>
      </w:r>
    </w:p>
    <w:p w14:paraId="52EAB19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2.2、电子采样模块：</w:t>
      </w:r>
    </w:p>
    <w:p w14:paraId="6D49339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电子采样模块由无磁、直读采样传感器组成；</w:t>
      </w:r>
    </w:p>
    <w:p w14:paraId="441F417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2.3、无磁采样传感器：</w:t>
      </w:r>
    </w:p>
    <w:p w14:paraId="4782BF2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1）宽工作电压：2.0V~3.7V；</w:t>
      </w:r>
    </w:p>
    <w:p w14:paraId="5B601E1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2）微功耗：工作电流：5uA</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3.3V；</w:t>
      </w:r>
    </w:p>
    <w:p w14:paraId="6DF281E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3）工作温度：-25℃~85℃；</w:t>
      </w:r>
    </w:p>
    <w:p w14:paraId="106F8A7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2.4、直读采样传感器</w:t>
      </w:r>
    </w:p>
    <w:p w14:paraId="588EBDA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1）隧道磁电阻(TMR) 技术</w:t>
      </w:r>
    </w:p>
    <w:p w14:paraId="35027BE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2）大输出信号，无需信号放大</w:t>
      </w:r>
    </w:p>
    <w:p w14:paraId="43E8FE3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3）宽工作电压范围，1V-7V</w:t>
      </w:r>
    </w:p>
    <w:p w14:paraId="7C98848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4）工作温度：-40~85℃</w:t>
      </w:r>
    </w:p>
    <w:p w14:paraId="08FE237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2.5、NB-IoT模块</w:t>
      </w:r>
      <w:r>
        <w:rPr>
          <w:rFonts w:hint="eastAsia" w:asciiTheme="minorEastAsia" w:hAnsiTheme="minorEastAsia" w:eastAsiaTheme="minorEastAsia" w:cstheme="minorEastAsia"/>
          <w:color w:val="auto"/>
          <w:sz w:val="24"/>
          <w:szCs w:val="24"/>
          <w:highlight w:val="none"/>
          <w:lang w:val="en-US" w:eastAsia="zh-CN"/>
        </w:rPr>
        <w:tab/>
      </w:r>
    </w:p>
    <w:p w14:paraId="14CE1D8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1）移动物联网</w:t>
      </w:r>
    </w:p>
    <w:p w14:paraId="44EEDB5A">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2）大输出信号，无需信号放大</w:t>
      </w:r>
    </w:p>
    <w:p w14:paraId="71489DB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3）宽工作电压范围，1V-7V</w:t>
      </w:r>
    </w:p>
    <w:p w14:paraId="06EC645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4）工作 温度：-40~85℃</w:t>
      </w:r>
    </w:p>
    <w:p w14:paraId="1062A8D8">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2.6、通讯天线：铜，用于接收指令、上报数据等</w:t>
      </w:r>
    </w:p>
    <w:p w14:paraId="1134CAF2">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lang w:val="en-US" w:eastAsia="zh-CN"/>
        </w:rPr>
        <w:t>、静压投入式水位计</w:t>
      </w:r>
    </w:p>
    <w:p w14:paraId="13C4824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1、量程：0-1...20M...500M</w:t>
      </w:r>
    </w:p>
    <w:p w14:paraId="4B51FB3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2、输出信号：4-20mA</w:t>
      </w:r>
    </w:p>
    <w:p w14:paraId="5F56A2C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3、精度：≤0.5%:</w:t>
      </w:r>
    </w:p>
    <w:p w14:paraId="62E2AC6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4、非线性：≤0.5FS%</w:t>
      </w:r>
    </w:p>
    <w:p w14:paraId="6CB369B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5、迟滞、重复性：≤0.2FS%</w:t>
      </w:r>
    </w:p>
    <w:p w14:paraId="5598D53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6、零点漂移：≤0.2FS%/4H</w:t>
      </w:r>
    </w:p>
    <w:p w14:paraId="5F3814B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7、零及灵敏温度漂移：≤.04FS%/℃</w:t>
      </w:r>
    </w:p>
    <w:p w14:paraId="524FC9C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8、长期稳定性：≤0.2FS%/年</w:t>
      </w:r>
    </w:p>
    <w:p w14:paraId="1FEAEB2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9、工作电压：12-36VDC</w:t>
      </w:r>
    </w:p>
    <w:p w14:paraId="7F64827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10、补偿温度：0-55℃</w:t>
      </w:r>
    </w:p>
    <w:p w14:paraId="6B532A0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11、工作温度：-20-70℃（推荐50℃以下）</w:t>
      </w:r>
    </w:p>
    <w:p w14:paraId="6A2AA72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12、过载能力：300%</w:t>
      </w:r>
    </w:p>
    <w:p w14:paraId="78D12EE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13、膜片、壳体材质：316L不锈钢</w:t>
      </w:r>
    </w:p>
    <w:p w14:paraId="1C1F1C50">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lang w:val="en-US" w:eastAsia="zh-CN"/>
        </w:rPr>
        <w:t>、压力传感器</w:t>
      </w:r>
    </w:p>
    <w:p w14:paraId="071A571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1、量程范围：-0.1~100MPa；</w:t>
      </w:r>
    </w:p>
    <w:p w14:paraId="3329990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2、精度：0.5级，0.25级；</w:t>
      </w:r>
    </w:p>
    <w:p w14:paraId="29B1FCF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3、供电电池：3.6V/9AH，3.6V/19AH；</w:t>
      </w:r>
    </w:p>
    <w:p w14:paraId="0900F502">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4、压力检测周期：3秒；</w:t>
      </w:r>
    </w:p>
    <w:p w14:paraId="5BC1A0E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5、功耗：40微安，发射150毫安；</w:t>
      </w:r>
    </w:p>
    <w:p w14:paraId="54DBB699">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6、压力上报周期：1小时~24小时；</w:t>
      </w:r>
    </w:p>
    <w:p w14:paraId="3BC7848A">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7、过载：150%F.S；</w:t>
      </w:r>
    </w:p>
    <w:p w14:paraId="0BE82B5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8、防爆等级：EXib IIB T6 GB；</w:t>
      </w:r>
    </w:p>
    <w:p w14:paraId="2F5A24BA">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遥测终端机RTU</w:t>
      </w:r>
      <w:bookmarkEnd w:id="66"/>
    </w:p>
    <w:p w14:paraId="244A68B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以电折水智能终端需要集电量计量、4G/NB-IoT无线远传功能于一体，设备内嵌以电折水逻辑算法，自动显示测点用水数据。遥测终端机RTU（带IC卡功能），具备计量数据采集、测量数据采集、设备开关状态采集、余量充值管理、设备控制管理等多项功能。</w:t>
      </w:r>
    </w:p>
    <w:p w14:paraId="5794B1C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工作方式：自报、应答、兼容可设定</w:t>
      </w:r>
    </w:p>
    <w:p w14:paraId="2560333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总线速率：300bps-57600 bps；</w:t>
      </w:r>
    </w:p>
    <w:p w14:paraId="052E2B3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环境温度：－30℃～＋70℃；</w:t>
      </w:r>
    </w:p>
    <w:p w14:paraId="50E418F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值守电流：≤2mA(12VDC)；</w:t>
      </w:r>
    </w:p>
    <w:p w14:paraId="72F51EA2">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工作电流：≤10mA(12VDC)；</w:t>
      </w:r>
    </w:p>
    <w:p w14:paraId="1FF2B5C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相对湿度：＜95%；</w:t>
      </w:r>
    </w:p>
    <w:p w14:paraId="12B9977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平均无故障时间：MTB25000h；</w:t>
      </w:r>
    </w:p>
    <w:p w14:paraId="55BF38C9">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电源：12.0±10％VDC 5A。</w:t>
      </w:r>
      <w:bookmarkStart w:id="67" w:name="_Toc18201"/>
    </w:p>
    <w:p w14:paraId="21857D8E">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eastAsiaTheme="minorEastAsia" w:cstheme="minorEastAsia"/>
          <w:b/>
          <w:bCs/>
          <w:color w:val="auto"/>
          <w:sz w:val="24"/>
          <w:szCs w:val="24"/>
          <w:highlight w:val="none"/>
        </w:rPr>
      </w:pPr>
      <w:bookmarkStart w:id="68" w:name="_Toc4407"/>
      <w:r>
        <w:rPr>
          <w:rFonts w:hint="eastAsia" w:asciiTheme="minorEastAsia" w:hAnsiTheme="minorEastAsia" w:cstheme="minorEastAsia"/>
          <w:b/>
          <w:bCs/>
          <w:color w:val="auto"/>
          <w:sz w:val="24"/>
          <w:szCs w:val="24"/>
          <w:highlight w:val="none"/>
          <w:lang w:val="en-US" w:eastAsia="zh-CN"/>
        </w:rPr>
        <w:t>五）</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供电系统</w:t>
      </w:r>
      <w:bookmarkEnd w:id="68"/>
    </w:p>
    <w:p w14:paraId="268B96E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1、功能要求</w:t>
      </w:r>
    </w:p>
    <w:p w14:paraId="3878547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主要由充电控制器和蓄电池组成，由交流电和蓄电池互补供电。对监测系统的所有设备进行供电，要求在每小时测报1次的情况下，交流电连续断电7日内系统正常运行。</w:t>
      </w:r>
    </w:p>
    <w:p w14:paraId="2D36E24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2、主要技术指标</w:t>
      </w:r>
    </w:p>
    <w:p w14:paraId="3B36D72A">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2.1、蓄电池</w:t>
      </w:r>
    </w:p>
    <w:p w14:paraId="404FCDB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1）铅酸性可充蓄电池，免维护蓄电池；</w:t>
      </w:r>
    </w:p>
    <w:p w14:paraId="6AEA668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2）电压：12V</w:t>
      </w:r>
    </w:p>
    <w:p w14:paraId="4C6A305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3）容量：≥100Ah</w:t>
      </w:r>
    </w:p>
    <w:p w14:paraId="4AF6857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2.2、交流充电控制器</w:t>
      </w:r>
    </w:p>
    <w:p w14:paraId="7B2A507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1）输入电压：88-264V；</w:t>
      </w:r>
    </w:p>
    <w:p w14:paraId="7022600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2）电源频率：47-63HZ；</w:t>
      </w:r>
    </w:p>
    <w:p w14:paraId="725E9C8A">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3）输出：1、13.8V，0-3.5A；2、5V，0-4A；  3、13.4V，0-0.23A（充电器）；</w:t>
      </w:r>
    </w:p>
    <w:p w14:paraId="38D58DB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4）保护功能：过充电、过放电保护，正、负极反接保护，误操作保护，内置保险管，电子短路保护；</w:t>
      </w:r>
    </w:p>
    <w:p w14:paraId="39E3148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outlineLvl w:val="2"/>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5）充电功能：充电过程快速、平稳，内置蓄电池温度补偿器，12V、24V电压自适应，自耗电小，析气调节；</w:t>
      </w:r>
    </w:p>
    <w:p w14:paraId="1AC76AB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6）指示灯显示：红色11.8V，黄色到红黄色12.3V，绿色12.8V。</w:t>
      </w:r>
    </w:p>
    <w:p w14:paraId="36876BA9">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cstheme="minorEastAsia"/>
          <w:b/>
          <w:bCs/>
          <w:color w:val="auto"/>
          <w:sz w:val="24"/>
          <w:szCs w:val="24"/>
          <w:highlight w:val="none"/>
          <w:lang w:val="en-US" w:eastAsia="zh-CN"/>
        </w:rPr>
        <w:t>六）</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cstheme="minorEastAsia"/>
          <w:b/>
          <w:bCs/>
          <w:color w:val="auto"/>
          <w:sz w:val="24"/>
          <w:szCs w:val="24"/>
          <w:highlight w:val="none"/>
          <w:lang w:val="en-US" w:eastAsia="zh-CN"/>
        </w:rPr>
        <w:t>防雷</w:t>
      </w:r>
      <w:r>
        <w:rPr>
          <w:rFonts w:hint="eastAsia" w:asciiTheme="minorEastAsia" w:hAnsiTheme="minorEastAsia" w:eastAsiaTheme="minorEastAsia" w:cstheme="minorEastAsia"/>
          <w:b/>
          <w:bCs/>
          <w:color w:val="auto"/>
          <w:sz w:val="24"/>
          <w:szCs w:val="24"/>
          <w:highlight w:val="none"/>
        </w:rPr>
        <w:t>系统</w:t>
      </w:r>
      <w:bookmarkEnd w:id="67"/>
    </w:p>
    <w:p w14:paraId="7FD732E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电源避雷</w:t>
      </w:r>
    </w:p>
    <w:p w14:paraId="68DDE4D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rPr>
        <w:t>最大连续工作电压：UcAC 385V，UcDC 505V；</w:t>
      </w:r>
    </w:p>
    <w:p w14:paraId="0C3748E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highlight w:val="none"/>
        </w:rPr>
        <w:t>额定电压：Uc 385V；</w:t>
      </w:r>
    </w:p>
    <w:p w14:paraId="4DD71E5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1.3、</w:t>
      </w:r>
      <w:r>
        <w:rPr>
          <w:rFonts w:hint="eastAsia" w:asciiTheme="minorEastAsia" w:hAnsiTheme="minorEastAsia" w:eastAsiaTheme="minorEastAsia" w:cstheme="minorEastAsia"/>
          <w:color w:val="auto"/>
          <w:sz w:val="24"/>
          <w:szCs w:val="24"/>
          <w:highlight w:val="none"/>
        </w:rPr>
        <w:t>正常放电电流：In(8/20) 20KA；</w:t>
      </w:r>
    </w:p>
    <w:p w14:paraId="399F58EA">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1.4、</w:t>
      </w:r>
      <w:r>
        <w:rPr>
          <w:rFonts w:hint="eastAsia" w:asciiTheme="minorEastAsia" w:hAnsiTheme="minorEastAsia" w:eastAsiaTheme="minorEastAsia" w:cstheme="minorEastAsia"/>
          <w:color w:val="auto"/>
          <w:sz w:val="24"/>
          <w:szCs w:val="24"/>
          <w:highlight w:val="none"/>
        </w:rPr>
        <w:t>最大放电电流：Imax(8/20) 40KA；</w:t>
      </w:r>
    </w:p>
    <w:p w14:paraId="227C048D">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1.5、</w:t>
      </w:r>
      <w:r>
        <w:rPr>
          <w:rFonts w:hint="eastAsia" w:asciiTheme="minorEastAsia" w:hAnsiTheme="minorEastAsia" w:eastAsiaTheme="minorEastAsia" w:cstheme="minorEastAsia"/>
          <w:color w:val="auto"/>
          <w:sz w:val="24"/>
          <w:szCs w:val="24"/>
          <w:highlight w:val="none"/>
        </w:rPr>
        <w:t>接线：当电流小于63A时，一般使用4mm-6mm的铜芯线。</w:t>
      </w:r>
    </w:p>
    <w:p w14:paraId="4E5DFED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信号避雷</w:t>
      </w:r>
    </w:p>
    <w:p w14:paraId="780881F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双绞线接口信号防雷器，技术指标如下：</w:t>
      </w:r>
    </w:p>
    <w:p w14:paraId="21D8650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2.1、</w:t>
      </w:r>
      <w:r>
        <w:rPr>
          <w:rFonts w:hint="eastAsia" w:asciiTheme="minorEastAsia" w:hAnsiTheme="minorEastAsia" w:eastAsiaTheme="minorEastAsia" w:cstheme="minorEastAsia"/>
          <w:color w:val="auto"/>
          <w:sz w:val="24"/>
          <w:szCs w:val="24"/>
          <w:highlight w:val="none"/>
        </w:rPr>
        <w:t>额定电压：12V；</w:t>
      </w:r>
    </w:p>
    <w:p w14:paraId="6F678FC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2.2</w:t>
      </w:r>
      <w:r>
        <w:rPr>
          <w:rFonts w:hint="eastAsia" w:asciiTheme="minorEastAsia" w:hAnsiTheme="minorEastAsia" w:eastAsiaTheme="minorEastAsia" w:cstheme="minorEastAsia"/>
          <w:color w:val="auto"/>
          <w:sz w:val="24"/>
          <w:szCs w:val="24"/>
          <w:highlight w:val="none"/>
        </w:rPr>
        <w:t>最大工作电压：15V；</w:t>
      </w:r>
    </w:p>
    <w:p w14:paraId="49CB29D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2.3</w:t>
      </w:r>
      <w:r>
        <w:rPr>
          <w:rFonts w:hint="eastAsia" w:asciiTheme="minorEastAsia" w:hAnsiTheme="minorEastAsia" w:eastAsiaTheme="minorEastAsia" w:cstheme="minorEastAsia"/>
          <w:color w:val="auto"/>
          <w:sz w:val="24"/>
          <w:szCs w:val="24"/>
          <w:highlight w:val="none"/>
        </w:rPr>
        <w:t>标称通流：10KA；</w:t>
      </w:r>
    </w:p>
    <w:p w14:paraId="5FBCAD2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2.4</w:t>
      </w:r>
      <w:r>
        <w:rPr>
          <w:rFonts w:hint="eastAsia" w:asciiTheme="minorEastAsia" w:hAnsiTheme="minorEastAsia" w:eastAsiaTheme="minorEastAsia" w:cstheme="minorEastAsia"/>
          <w:color w:val="auto"/>
          <w:sz w:val="24"/>
          <w:szCs w:val="24"/>
          <w:highlight w:val="none"/>
        </w:rPr>
        <w:t>响应时间：1NS。</w:t>
      </w:r>
    </w:p>
    <w:p w14:paraId="47C42EA7">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eastAsiaTheme="minorEastAsia" w:cstheme="minorEastAsia"/>
          <w:b/>
          <w:bCs/>
          <w:color w:val="auto"/>
          <w:sz w:val="24"/>
          <w:szCs w:val="24"/>
          <w:highlight w:val="none"/>
          <w:lang w:eastAsia="zh-CN"/>
        </w:rPr>
      </w:pPr>
      <w:bookmarkStart w:id="69" w:name="_Toc2231"/>
      <w:r>
        <w:rPr>
          <w:rFonts w:hint="eastAsia" w:asciiTheme="minorEastAsia" w:hAnsiTheme="minorEastAsia" w:cstheme="minorEastAsia"/>
          <w:b/>
          <w:bCs/>
          <w:color w:val="auto"/>
          <w:sz w:val="24"/>
          <w:szCs w:val="24"/>
          <w:highlight w:val="none"/>
          <w:lang w:val="en-US" w:eastAsia="zh-CN"/>
        </w:rPr>
        <w:t>七）</w:t>
      </w:r>
      <w:r>
        <w:rPr>
          <w:rFonts w:hint="eastAsia" w:asciiTheme="minorEastAsia" w:hAnsiTheme="minorEastAsia" w:eastAsiaTheme="minorEastAsia" w:cstheme="minorEastAsia"/>
          <w:b/>
          <w:bCs/>
          <w:color w:val="auto"/>
          <w:sz w:val="24"/>
          <w:szCs w:val="24"/>
          <w:highlight w:val="none"/>
          <w:lang w:val="en-US" w:eastAsia="zh-CN"/>
        </w:rPr>
        <w:t>、</w:t>
      </w:r>
      <w:bookmarkEnd w:id="69"/>
      <w:r>
        <w:rPr>
          <w:rFonts w:hint="eastAsia" w:asciiTheme="minorEastAsia" w:hAnsiTheme="minorEastAsia" w:cstheme="minorEastAsia"/>
          <w:b/>
          <w:bCs/>
          <w:color w:val="auto"/>
          <w:sz w:val="24"/>
          <w:szCs w:val="24"/>
          <w:highlight w:val="none"/>
          <w:lang w:val="en-US" w:eastAsia="zh-CN"/>
        </w:rPr>
        <w:t>管控机箱</w:t>
      </w:r>
    </w:p>
    <w:p w14:paraId="575A4E1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材质：镀锌铁板，板厚不小于1mm；外观：整箱喷塑表面清洁；</w:t>
      </w:r>
    </w:p>
    <w:p w14:paraId="4E9DF67B">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防护功能：防护等级IP67，具备防淋（防雨雪）、防尘，带锁闭等基本保护功能。</w:t>
      </w:r>
    </w:p>
    <w:p w14:paraId="3EF3672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配备辅材：挂墙挂片、挂杆抱箍、三角支架等设备箱安装时必备的配件</w:t>
      </w:r>
    </w:p>
    <w:p w14:paraId="722DB159">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箱体质量：箱体主体无缝焊接，柜体质量具有一定的抗撞击、抗破坏能力，有良好的承重能力及稳定性，阻燃、绝缘、耐老化。</w:t>
      </w:r>
    </w:p>
    <w:p w14:paraId="59013C8B">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密封要求：密封条安装正确、平整，无影响密封性能的缺陷。</w:t>
      </w:r>
    </w:p>
    <w:p w14:paraId="676DF50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cstheme="minorEastAsia"/>
          <w:b/>
          <w:bCs/>
          <w:color w:val="auto"/>
          <w:sz w:val="24"/>
          <w:szCs w:val="24"/>
          <w:highlight w:val="none"/>
          <w:lang w:val="en-US" w:eastAsia="zh-CN"/>
        </w:rPr>
      </w:pPr>
      <w:bookmarkStart w:id="70" w:name="_Toc12508"/>
      <w:r>
        <w:rPr>
          <w:rFonts w:hint="eastAsia" w:asciiTheme="minorEastAsia" w:hAnsiTheme="minorEastAsia" w:cstheme="minorEastAsia"/>
          <w:b/>
          <w:bCs/>
          <w:color w:val="auto"/>
          <w:sz w:val="24"/>
          <w:szCs w:val="24"/>
          <w:highlight w:val="none"/>
          <w:lang w:val="en-US" w:eastAsia="zh-CN"/>
        </w:rPr>
        <w:t>八）、取水口标识牌</w:t>
      </w:r>
    </w:p>
    <w:p w14:paraId="08FF1B4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水行政主管部门组织在取水工程（设施）的醒目处设置标识牌，标识牌需注明取水口编号、取水单位、取水水源、取水口位置、取水许可量、监管电话、二维码等内容。</w:t>
      </w:r>
    </w:p>
    <w:p w14:paraId="6DB04D6B">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新建、改建、扩建项目取水工程（设施）取水口标识牌由取用水户按技术要求设置。</w:t>
      </w:r>
    </w:p>
    <w:p w14:paraId="37289B1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取水口标识牌应采用坚固耐用的材料制作，字体采用宋体印制，建议采用蓝底白字。标识牌一般由底板、支撑件、基础等组成，各部分组成应连接可靠。支撑件具有一定的刚度和强度，并考虑美观要求。各部件安装稳固，满足抗风、抗拔、抗撞等要求。不需要使用支撑的部件，直接悬挂安装于附着物（如泵房外墙）上。</w:t>
      </w:r>
    </w:p>
    <w:p w14:paraId="6803117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地表水取水口设置立柱式标识牌，地下水取水口设置贴牌式标识牌。</w:t>
      </w:r>
    </w:p>
    <w:p w14:paraId="234AA448">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取水口标识牌内容</w:t>
      </w:r>
    </w:p>
    <w:p w14:paraId="11E46299">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bookmarkStart w:id="71" w:name="_Toc144637171"/>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取水口编号</w:t>
      </w:r>
      <w:bookmarkEnd w:id="71"/>
    </w:p>
    <w:p w14:paraId="44CA7A02">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取水口编号按照国家政务服务平台标准《国家政务服务平台电子证照取水许可证（C 0140-2019）》进行编号，编号由“发证机构级别代码—项目所在县级行政区划代码—水源类型代码—年度号—顺序号”组成，共16位，如图所示。</w:t>
      </w:r>
    </w:p>
    <w:p w14:paraId="4FFDBF4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（1）“发证机关级别代码”是指发证机关的层级代码，国家级（流域管理机构）为A，省级为B，市级为C，区县级为D；</w:t>
      </w:r>
    </w:p>
    <w:p w14:paraId="3E907094">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（2）“发证机关区划代码”依据《中华人民共和国行政区划代码》规定的区划代码，流域管理机构采用其所在地的行政区划代码；</w:t>
      </w:r>
    </w:p>
    <w:p w14:paraId="004DEAF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（3）“水源类型代码”地表水为S，地下水为G；如果同时使用多种水源，采用主要水源的代码；</w:t>
      </w:r>
    </w:p>
    <w:p w14:paraId="10CFCA1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（4）“发证年度号”是指启用电子证照的首次发证年份，采用4位年份数字；</w:t>
      </w:r>
    </w:p>
    <w:p w14:paraId="1223F16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（5）“顺序码”是指发证机关当年发证的顺序号，不足4位用0补足，超过4位直接加位。</w:t>
      </w:r>
    </w:p>
    <w:p w14:paraId="130D9986">
      <w:pPr>
        <w:bidi w:val="0"/>
        <w:rPr>
          <w:rFonts w:hint="eastAsia"/>
          <w:highlight w:val="none"/>
        </w:rPr>
      </w:pPr>
      <w:r>
        <w:rPr>
          <w:rFonts w:hint="eastAsia"/>
          <w:highlight w:val="none"/>
        </w:rPr>
        <w:drawing>
          <wp:inline distT="0" distB="0" distL="114300" distR="114300">
            <wp:extent cx="5438775" cy="199072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2"/>
                    <a:stretch>
                      <a:fillRect/>
                    </a:stretch>
                  </pic:blipFill>
                  <pic:spPr>
                    <a:xfrm>
                      <a:off x="0" y="0"/>
                      <a:ext cx="5438775" cy="1990725"/>
                    </a:xfrm>
                    <a:prstGeom prst="rect">
                      <a:avLst/>
                    </a:prstGeom>
                    <a:noFill/>
                    <a:ln>
                      <a:noFill/>
                    </a:ln>
                  </pic:spPr>
                </pic:pic>
              </a:graphicData>
            </a:graphic>
          </wp:inline>
        </w:drawing>
      </w:r>
    </w:p>
    <w:p w14:paraId="3718D363">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bookmarkStart w:id="72" w:name="_Toc144637172"/>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取水单位</w:t>
      </w:r>
      <w:bookmarkEnd w:id="72"/>
    </w:p>
    <w:p w14:paraId="48F448B2">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水单位应填写依法取得取水许可证的法人、公民或者其他组织（非法人组织）的全称。取水单位（法人或其他组织）填写的单位名称应与注册登记的单位信息一致；个人（公民）姓名应与有效身份证件载明的个人信息一致。</w:t>
      </w:r>
    </w:p>
    <w:p w14:paraId="5A6352F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bookmarkStart w:id="73" w:name="_Toc144637173"/>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取水水源</w:t>
      </w:r>
      <w:bookmarkEnd w:id="73"/>
    </w:p>
    <w:p w14:paraId="26FD33D8">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取水水源主要填写水源类型。水源类型包括地表水、地下水、地下水（矿泉水）、地下水（地热水）。</w:t>
      </w:r>
    </w:p>
    <w:p w14:paraId="65448EB0">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（1）水源类型按实际取水水源的具体类型填写。从江河、湖泊、水库以及自水资源配置工程取水的，按地表水填写，并写明工程名称。例如，地表水（XXX水库）。</w:t>
      </w:r>
    </w:p>
    <w:p w14:paraId="02ACB14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（2）取水水源为地表水、地下水的，应填写所有水源类型，并用分号隔开，按取水量大小，自大至小排序。</w:t>
      </w:r>
    </w:p>
    <w:p w14:paraId="62CD8CC5">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（3）取用水源为地热水或矿泉水的，填写“</w:t>
      </w:r>
      <w:bookmarkStart w:id="74" w:name="_Hlk108534911"/>
      <w:r>
        <w:rPr>
          <w:rFonts w:hint="eastAsia" w:asciiTheme="minorEastAsia" w:hAnsiTheme="minorEastAsia" w:eastAsiaTheme="minorEastAsia" w:cstheme="minorEastAsia"/>
          <w:color w:val="auto"/>
          <w:sz w:val="24"/>
          <w:szCs w:val="24"/>
          <w:highlight w:val="none"/>
        </w:rPr>
        <w:t>地下水（地热水）</w:t>
      </w:r>
      <w:bookmarkEnd w:id="74"/>
      <w:r>
        <w:rPr>
          <w:rFonts w:hint="eastAsia" w:asciiTheme="minorEastAsia" w:hAnsiTheme="minorEastAsia" w:eastAsiaTheme="minorEastAsia" w:cstheme="minorEastAsia"/>
          <w:color w:val="auto"/>
          <w:sz w:val="24"/>
          <w:szCs w:val="24"/>
          <w:highlight w:val="none"/>
        </w:rPr>
        <w:t>”、“地下水（矿泉水）”。</w:t>
      </w:r>
    </w:p>
    <w:p w14:paraId="17D20189">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（4）矿坑疏干排水、施工疏干排水，填写“地下水”。采矿企业矿坑排水如自用为“地下水”；取水单位直接取用采矿企业供给的矿坑疏干排水（包括经过处理和未经过处理）为“矿坑疏干排水”。</w:t>
      </w:r>
    </w:p>
    <w:p w14:paraId="5CE3713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（5）取用地下水的地源热泵，填写“地下水（地热水）”。</w:t>
      </w:r>
    </w:p>
    <w:p w14:paraId="67CBC37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bookmarkStart w:id="75" w:name="_Toc144637174"/>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取水类型</w:t>
      </w:r>
      <w:bookmarkEnd w:id="75"/>
    </w:p>
    <w:p w14:paraId="06747AD2">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取水类型根据工程或设施属性、取水用途管制需要，划分为水资源配置、河道内生产、基础设施或公用事业、自备水源等四类。</w:t>
      </w:r>
    </w:p>
    <w:p w14:paraId="38D69DB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（1）水资源配置指用于水资源调蓄、区域供水等类型水利工程取水，包括蓄水工程（水库、塘坝）、引调水工程（引水工程、调水工程）、生态补水工程等取水。</w:t>
      </w:r>
    </w:p>
    <w:p w14:paraId="103F67A9">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（2）河道内生产指在江河、湖泊等水域内兴建的用于水力发电、航运、河道内养殖等取水。</w:t>
      </w:r>
    </w:p>
    <w:p w14:paraId="42C7A16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（3）基础设施和公用事业是具有各企业、事业单位和居民共享的基本特征，服务于城乡生产、生活和生态保护等类型的取水。包括原水供水公司、自来水厂等取水。</w:t>
      </w:r>
    </w:p>
    <w:p w14:paraId="75036CBE">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（4）自备水源指取水单位或个人利用取水设施（工程）直接从江河、湖泊、水库或地下水源取水，给自己用水的情况。</w:t>
      </w:r>
    </w:p>
    <w:p w14:paraId="75C9F422">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bookmarkStart w:id="76" w:name="_Toc144637175"/>
      <w:r>
        <w:rPr>
          <w:rFonts w:hint="eastAsia" w:asciiTheme="minorEastAsia" w:hAnsiTheme="minorEastAsia" w:eastAsiaTheme="minorEastAsia" w:cstheme="minorEastAsia"/>
          <w:color w:val="auto"/>
          <w:sz w:val="24"/>
          <w:szCs w:val="24"/>
          <w:highlight w:val="none"/>
        </w:rPr>
        <w:t>5</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取水用途</w:t>
      </w:r>
      <w:bookmarkEnd w:id="76"/>
    </w:p>
    <w:p w14:paraId="741A7887">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取水用途指取水的使用范围、方面。按实际取水用途填写，该取水同时具有多种用途时，应逐项选填。</w:t>
      </w:r>
    </w:p>
    <w:p w14:paraId="250E243A">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（1）对于水资源配置类取水，可按原水供水等实际取水用途填写。</w:t>
      </w:r>
    </w:p>
    <w:p w14:paraId="3C43FA8F">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（2）对于河道内生产类工程取水，可按水力发电、航运、河道内养殖等实际用途填写。</w:t>
      </w:r>
    </w:p>
    <w:p w14:paraId="5B87AC39">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基础设施和公用事业类工程取水，可按原水供水、制水供水等实际取水用途填写。其中，原水供水是指取水单位直接从江河、湖泊或地下取水，不作制水加工，直接供给其他企业生产、城市自来水公司等。制水供水是指城乡公共供水企业取原水按照国家标准生产自来水，利用管网供给城乡居民和企事业单位等。</w:t>
      </w:r>
    </w:p>
    <w:p w14:paraId="65145957">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（4）自备水源类取水包括所有取水用途类用水。</w:t>
      </w:r>
    </w:p>
    <w:p w14:paraId="5523A2BF">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生活用水指城镇居民生活用水和农村生活用水。</w:t>
      </w:r>
    </w:p>
    <w:p w14:paraId="38450627">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工业用水指工业企业生产用水和非生产用水。非生产用水包括厂区内为生产服务的职工生活用水、厂区绿化和消防用水等，不包括企业家属区、生活区的用水。</w:t>
      </w:r>
    </w:p>
    <w:p w14:paraId="1B3D946A">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农田灌溉用水指各种农作物的种植灌溉用水，包括耕地灌溉用水、园（果）地灌溉用水、牧草地灌溉用水。</w:t>
      </w:r>
    </w:p>
    <w:p w14:paraId="6290BAAD">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林业用水指林业灌溉用水。</w:t>
      </w:r>
    </w:p>
    <w:p w14:paraId="6A2D83EB">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畜牧业用水指为了获得各种畜禽产品的用水。</w:t>
      </w:r>
    </w:p>
    <w:p w14:paraId="7ADA61C0">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渔业用水指各种水生动植物的养殖用水。</w:t>
      </w:r>
    </w:p>
    <w:p w14:paraId="41ED4049">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建筑业用水指土木工程、房屋建设和设备安装等用水。</w:t>
      </w:r>
    </w:p>
    <w:p w14:paraId="7CCAAEB4">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服务业用水包括公共事业、高尔夫球场、滑雪场、洗浴、洗车、其它服务业，其中，公共事业是指医院、学校等。</w:t>
      </w:r>
    </w:p>
    <w:p w14:paraId="5602DB3B">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生态环境用水包括河湖湿地、地下水回灌等补水、景观娱乐用水、绿化环境用水和其它用水。</w:t>
      </w:r>
    </w:p>
    <w:p w14:paraId="4726D522">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其它用水包括水源热泵、矿坑排水、施工降水、施工用水、其它类型用水。</w:t>
      </w:r>
    </w:p>
    <w:p w14:paraId="63E5E632">
      <w:pPr>
        <w:pStyle w:val="36"/>
        <w:keepNext w:val="0"/>
        <w:keepLines w:val="0"/>
        <w:pageBreakBefore w:val="0"/>
        <w:widowControl/>
        <w:tabs>
          <w:tab w:val="left" w:pos="4860"/>
          <w:tab w:val="left" w:pos="5040"/>
        </w:tabs>
        <w:kinsoku/>
        <w:wordWrap/>
        <w:overflowPunct/>
        <w:topLinePunct w:val="0"/>
        <w:autoSpaceDE/>
        <w:autoSpaceDN/>
        <w:bidi w:val="0"/>
        <w:adjustRightInd/>
        <w:snapToGrid/>
        <w:spacing w:before="0" w:beforeAutospacing="0" w:after="0" w:afterAutospacing="0" w:line="480" w:lineRule="exact"/>
        <w:ind w:left="0" w:leftChars="0" w:right="0" w:firstLine="536"/>
        <w:jc w:val="center"/>
        <w:textAlignment w:val="auto"/>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bidi="ar-SA"/>
        </w:rPr>
        <w:t>取水口标示牌示意图</w:t>
      </w:r>
      <w:r>
        <w:rPr>
          <w:rFonts w:hint="eastAsia" w:asciiTheme="minorEastAsia" w:hAnsiTheme="minorEastAsia" w:eastAsiaTheme="minorEastAsia" w:cstheme="minorEastAsia"/>
          <w:color w:val="auto"/>
          <w:kern w:val="2"/>
          <w:sz w:val="24"/>
          <w:szCs w:val="24"/>
          <w:highlight w:val="none"/>
          <w:lang w:val="en-US" w:eastAsia="zh-CN" w:bidi="ar-SA"/>
        </w:rPr>
        <w:drawing>
          <wp:anchor distT="0" distB="0" distL="114300" distR="114300" simplePos="0" relativeHeight="251662336" behindDoc="0" locked="0" layoutInCell="1" allowOverlap="1">
            <wp:simplePos x="0" y="0"/>
            <wp:positionH relativeFrom="column">
              <wp:posOffset>461010</wp:posOffset>
            </wp:positionH>
            <wp:positionV relativeFrom="paragraph">
              <wp:posOffset>430530</wp:posOffset>
            </wp:positionV>
            <wp:extent cx="4786630" cy="3089910"/>
            <wp:effectExtent l="0" t="0" r="13970" b="15240"/>
            <wp:wrapTopAndBottom/>
            <wp:docPr id="2" name="图片 2" descr="3cf5740911c42b6acfa3d6197f0dfb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cf5740911c42b6acfa3d6197f0dfb0f"/>
                    <pic:cNvPicPr>
                      <a:picLocks noChangeAspect="1"/>
                    </pic:cNvPicPr>
                  </pic:nvPicPr>
                  <pic:blipFill>
                    <a:blip r:embed="rId13"/>
                    <a:srcRect t="9177"/>
                    <a:stretch>
                      <a:fillRect/>
                    </a:stretch>
                  </pic:blipFill>
                  <pic:spPr>
                    <a:xfrm>
                      <a:off x="0" y="0"/>
                      <a:ext cx="4786630" cy="3089910"/>
                    </a:xfrm>
                    <a:prstGeom prst="rect">
                      <a:avLst/>
                    </a:prstGeom>
                  </pic:spPr>
                </pic:pic>
              </a:graphicData>
            </a:graphic>
          </wp:anchor>
        </w:drawing>
      </w:r>
    </w:p>
    <w:p w14:paraId="5A019673">
      <w:pPr>
        <w:keepNext w:val="0"/>
        <w:keepLines w:val="0"/>
        <w:pageBreakBefore w:val="0"/>
        <w:widowControl/>
        <w:kinsoku w:val="0"/>
        <w:wordWrap/>
        <w:overflowPunct/>
        <w:topLinePunct w:val="0"/>
        <w:autoSpaceDE w:val="0"/>
        <w:autoSpaceDN w:val="0"/>
        <w:bidi w:val="0"/>
        <w:adjustRightInd w:val="0"/>
        <w:snapToGrid w:val="0"/>
        <w:spacing w:line="560" w:lineRule="exact"/>
        <w:ind w:firstLine="482" w:firstLineChars="200"/>
        <w:textAlignment w:val="baseline"/>
        <w:outlineLvl w:val="2"/>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九）、设备外观质量要求</w:t>
      </w:r>
      <w:bookmarkEnd w:id="70"/>
    </w:p>
    <w:p w14:paraId="6752A78C">
      <w:pPr>
        <w:keepNext w:val="0"/>
        <w:keepLines w:val="0"/>
        <w:pageBreakBefore w:val="0"/>
        <w:widowControl/>
        <w:kinsoku w:val="0"/>
        <w:wordWrap/>
        <w:overflowPunct/>
        <w:topLinePunct w:val="0"/>
        <w:autoSpaceDE w:val="0"/>
        <w:autoSpaceDN w:val="0"/>
        <w:bidi w:val="0"/>
        <w:adjustRightInd w:val="0"/>
        <w:snapToGrid w:val="0"/>
        <w:spacing w:line="560" w:lineRule="exact"/>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为保证主要设备外观整洁、质量可靠，对主要设备外观质量提出以下要求，详见下表</w:t>
      </w:r>
    </w:p>
    <w:p w14:paraId="67F623BC">
      <w:pPr>
        <w:keepNext w:val="0"/>
        <w:keepLines w:val="0"/>
        <w:pageBreakBefore w:val="0"/>
        <w:widowControl/>
        <w:kinsoku w:val="0"/>
        <w:wordWrap/>
        <w:overflowPunct/>
        <w:topLinePunct w:val="0"/>
        <w:autoSpaceDE w:val="0"/>
        <w:autoSpaceDN w:val="0"/>
        <w:bidi w:val="0"/>
        <w:adjustRightInd w:val="0"/>
        <w:snapToGrid w:val="0"/>
        <w:ind w:firstLine="480" w:firstLineChars="200"/>
        <w:jc w:val="center"/>
        <w:textAlignment w:val="baseline"/>
        <w:outlineLvl w:val="1"/>
        <w:rPr>
          <w:rFonts w:hint="eastAsia" w:asciiTheme="minorEastAsia" w:hAnsiTheme="minorEastAsia" w:eastAsiaTheme="minorEastAsia" w:cstheme="minorEastAsia"/>
          <w:color w:val="auto"/>
          <w:sz w:val="24"/>
          <w:szCs w:val="24"/>
          <w:highlight w:val="none"/>
        </w:rPr>
      </w:pPr>
      <w:bookmarkStart w:id="77" w:name="_Toc22373"/>
      <w:bookmarkStart w:id="78" w:name="_Toc11742"/>
      <w:bookmarkStart w:id="79" w:name="_Toc31621"/>
      <w:r>
        <w:rPr>
          <w:rFonts w:hint="eastAsia" w:asciiTheme="minorEastAsia" w:hAnsiTheme="minorEastAsia" w:eastAsiaTheme="minorEastAsia" w:cstheme="minorEastAsia"/>
          <w:color w:val="auto"/>
          <w:sz w:val="24"/>
          <w:szCs w:val="24"/>
          <w:highlight w:val="none"/>
        </w:rPr>
        <w:t>主要设备外观质量要求</w:t>
      </w:r>
      <w:bookmarkEnd w:id="77"/>
      <w:bookmarkEnd w:id="78"/>
      <w:bookmarkEnd w:id="79"/>
    </w:p>
    <w:tbl>
      <w:tblPr>
        <w:tblStyle w:val="144"/>
        <w:tblW w:w="94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774"/>
        <w:gridCol w:w="7971"/>
      </w:tblGrid>
      <w:tr w14:paraId="50510A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jc w:val="center"/>
        </w:trPr>
        <w:tc>
          <w:tcPr>
            <w:tcW w:w="742" w:type="dxa"/>
            <w:vAlign w:val="center"/>
          </w:tcPr>
          <w:p w14:paraId="779F3D99">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设备</w:t>
            </w:r>
          </w:p>
          <w:p w14:paraId="18502C3C">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名称</w:t>
            </w:r>
          </w:p>
        </w:tc>
        <w:tc>
          <w:tcPr>
            <w:tcW w:w="774" w:type="dxa"/>
            <w:vAlign w:val="center"/>
          </w:tcPr>
          <w:p w14:paraId="6031CEB9">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参数</w:t>
            </w:r>
          </w:p>
          <w:p w14:paraId="55483085">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名称</w:t>
            </w:r>
          </w:p>
        </w:tc>
        <w:tc>
          <w:tcPr>
            <w:tcW w:w="7971" w:type="dxa"/>
            <w:vAlign w:val="center"/>
          </w:tcPr>
          <w:p w14:paraId="6E179D4C">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具体要求</w:t>
            </w:r>
          </w:p>
        </w:tc>
      </w:tr>
      <w:tr w14:paraId="55B71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jc w:val="center"/>
        </w:trPr>
        <w:tc>
          <w:tcPr>
            <w:tcW w:w="742" w:type="dxa"/>
            <w:vMerge w:val="restart"/>
            <w:tcBorders>
              <w:bottom w:val="nil"/>
            </w:tcBorders>
            <w:vAlign w:val="center"/>
          </w:tcPr>
          <w:p w14:paraId="64E58574">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w:t>
            </w:r>
          </w:p>
          <w:p w14:paraId="289147E1">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设备</w:t>
            </w:r>
          </w:p>
        </w:tc>
        <w:tc>
          <w:tcPr>
            <w:tcW w:w="774" w:type="dxa"/>
            <w:vMerge w:val="restart"/>
            <w:tcBorders>
              <w:bottom w:val="nil"/>
            </w:tcBorders>
            <w:vAlign w:val="center"/>
          </w:tcPr>
          <w:p w14:paraId="66D99A8A">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要求</w:t>
            </w:r>
          </w:p>
        </w:tc>
        <w:tc>
          <w:tcPr>
            <w:tcW w:w="7971" w:type="dxa"/>
            <w:vAlign w:val="center"/>
          </w:tcPr>
          <w:p w14:paraId="49DEAEE6">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1、外观表面清洁、无脱漆、锈蚀，不得有毛刺、裂纹、变形等现象。</w:t>
            </w:r>
          </w:p>
        </w:tc>
      </w:tr>
      <w:tr w14:paraId="7E3AF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742" w:type="dxa"/>
            <w:vMerge w:val="continue"/>
            <w:tcBorders>
              <w:top w:val="nil"/>
            </w:tcBorders>
            <w:vAlign w:val="center"/>
          </w:tcPr>
          <w:p w14:paraId="035D2E2F">
            <w:pPr>
              <w:jc w:val="center"/>
              <w:rPr>
                <w:rFonts w:hint="eastAsia" w:asciiTheme="minorEastAsia" w:hAnsiTheme="minorEastAsia" w:eastAsiaTheme="minorEastAsia" w:cstheme="minorEastAsia"/>
                <w:color w:val="auto"/>
                <w:highlight w:val="none"/>
              </w:rPr>
            </w:pPr>
          </w:p>
        </w:tc>
        <w:tc>
          <w:tcPr>
            <w:tcW w:w="774" w:type="dxa"/>
            <w:vMerge w:val="continue"/>
            <w:tcBorders>
              <w:top w:val="nil"/>
            </w:tcBorders>
            <w:vAlign w:val="center"/>
          </w:tcPr>
          <w:p w14:paraId="69D08540">
            <w:pPr>
              <w:jc w:val="center"/>
              <w:rPr>
                <w:rFonts w:hint="eastAsia" w:asciiTheme="minorEastAsia" w:hAnsiTheme="minorEastAsia" w:eastAsiaTheme="minorEastAsia" w:cstheme="minorEastAsia"/>
                <w:color w:val="auto"/>
                <w:highlight w:val="none"/>
              </w:rPr>
            </w:pPr>
          </w:p>
        </w:tc>
        <w:tc>
          <w:tcPr>
            <w:tcW w:w="7971" w:type="dxa"/>
            <w:vAlign w:val="center"/>
          </w:tcPr>
          <w:p w14:paraId="5BE880AA">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2、显示面板整洁，字迹清晰、准确，不得有划痕。</w:t>
            </w:r>
          </w:p>
        </w:tc>
      </w:tr>
      <w:tr w14:paraId="0E01F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jc w:val="center"/>
        </w:trPr>
        <w:tc>
          <w:tcPr>
            <w:tcW w:w="1516" w:type="dxa"/>
            <w:gridSpan w:val="2"/>
            <w:vMerge w:val="restart"/>
            <w:vAlign w:val="center"/>
          </w:tcPr>
          <w:p w14:paraId="0B99AD87">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外观质量</w:t>
            </w:r>
          </w:p>
        </w:tc>
        <w:tc>
          <w:tcPr>
            <w:tcW w:w="7971" w:type="dxa"/>
            <w:vAlign w:val="center"/>
          </w:tcPr>
          <w:p w14:paraId="2432109B">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3、各部分连接牢固，紧固件无松动、缺损等现象。</w:t>
            </w:r>
          </w:p>
        </w:tc>
      </w:tr>
      <w:tr w14:paraId="3FC6EE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jc w:val="center"/>
        </w:trPr>
        <w:tc>
          <w:tcPr>
            <w:tcW w:w="1516" w:type="dxa"/>
            <w:gridSpan w:val="2"/>
            <w:vMerge w:val="continue"/>
            <w:vAlign w:val="center"/>
          </w:tcPr>
          <w:p w14:paraId="588E5055">
            <w:pPr>
              <w:jc w:val="center"/>
              <w:rPr>
                <w:rFonts w:hint="eastAsia" w:asciiTheme="minorEastAsia" w:hAnsiTheme="minorEastAsia" w:eastAsiaTheme="minorEastAsia" w:cstheme="minorEastAsia"/>
                <w:color w:val="auto"/>
                <w:highlight w:val="none"/>
              </w:rPr>
            </w:pPr>
          </w:p>
        </w:tc>
        <w:tc>
          <w:tcPr>
            <w:tcW w:w="7971" w:type="dxa"/>
            <w:vAlign w:val="center"/>
          </w:tcPr>
          <w:p w14:paraId="3ABC799A">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4、设备结构便于安装、使用和维修。</w:t>
            </w:r>
          </w:p>
        </w:tc>
      </w:tr>
      <w:tr w14:paraId="0D387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jc w:val="center"/>
        </w:trPr>
        <w:tc>
          <w:tcPr>
            <w:tcW w:w="1516" w:type="dxa"/>
            <w:gridSpan w:val="2"/>
            <w:vMerge w:val="continue"/>
            <w:vAlign w:val="center"/>
          </w:tcPr>
          <w:p w14:paraId="3C043CE4">
            <w:pPr>
              <w:jc w:val="center"/>
              <w:rPr>
                <w:rFonts w:hint="eastAsia" w:asciiTheme="minorEastAsia" w:hAnsiTheme="minorEastAsia" w:eastAsiaTheme="minorEastAsia" w:cstheme="minorEastAsia"/>
                <w:color w:val="auto"/>
                <w:highlight w:val="none"/>
              </w:rPr>
            </w:pPr>
          </w:p>
        </w:tc>
        <w:tc>
          <w:tcPr>
            <w:tcW w:w="7971" w:type="dxa"/>
            <w:vAlign w:val="center"/>
          </w:tcPr>
          <w:p w14:paraId="4FEF5AD8">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5、柜体内醒目位置处附有详细的监测和控制线路图，线路接口位置有接线标识；密封条安装正确、平整，无影响密封性能的缺陷。</w:t>
            </w:r>
          </w:p>
        </w:tc>
      </w:tr>
      <w:tr w14:paraId="051BE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jc w:val="center"/>
        </w:trPr>
        <w:tc>
          <w:tcPr>
            <w:tcW w:w="1516" w:type="dxa"/>
            <w:gridSpan w:val="2"/>
            <w:vMerge w:val="continue"/>
            <w:vAlign w:val="center"/>
          </w:tcPr>
          <w:p w14:paraId="56241361">
            <w:pPr>
              <w:jc w:val="center"/>
              <w:rPr>
                <w:rFonts w:hint="eastAsia" w:asciiTheme="minorEastAsia" w:hAnsiTheme="minorEastAsia" w:eastAsiaTheme="minorEastAsia" w:cstheme="minorEastAsia"/>
                <w:color w:val="auto"/>
                <w:highlight w:val="none"/>
              </w:rPr>
            </w:pPr>
          </w:p>
        </w:tc>
        <w:tc>
          <w:tcPr>
            <w:tcW w:w="7971" w:type="dxa"/>
            <w:vAlign w:val="center"/>
          </w:tcPr>
          <w:p w14:paraId="1D5D332D">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6、柜体要求开窗显示监测数据，柜体需喷涂上测站编码</w:t>
            </w:r>
          </w:p>
        </w:tc>
      </w:tr>
      <w:tr w14:paraId="137E6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jc w:val="center"/>
        </w:trPr>
        <w:tc>
          <w:tcPr>
            <w:tcW w:w="1516" w:type="dxa"/>
            <w:gridSpan w:val="2"/>
            <w:vMerge w:val="continue"/>
            <w:vAlign w:val="center"/>
          </w:tcPr>
          <w:p w14:paraId="586DE341">
            <w:pPr>
              <w:jc w:val="center"/>
              <w:rPr>
                <w:rFonts w:hint="eastAsia" w:asciiTheme="minorEastAsia" w:hAnsiTheme="minorEastAsia" w:eastAsiaTheme="minorEastAsia" w:cstheme="minorEastAsia"/>
                <w:color w:val="auto"/>
                <w:highlight w:val="none"/>
              </w:rPr>
            </w:pPr>
          </w:p>
        </w:tc>
        <w:tc>
          <w:tcPr>
            <w:tcW w:w="7971" w:type="dxa"/>
            <w:vAlign w:val="center"/>
          </w:tcPr>
          <w:p w14:paraId="5481AE2B">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7、在正常包装状态下，所有仪器设备均能够承受运输过程中可能产生的振动、意外冲击、碰撞、跌落等。</w:t>
            </w:r>
          </w:p>
        </w:tc>
      </w:tr>
      <w:tr w14:paraId="788B0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jc w:val="center"/>
        </w:trPr>
        <w:tc>
          <w:tcPr>
            <w:tcW w:w="1516" w:type="dxa"/>
            <w:gridSpan w:val="2"/>
            <w:vMerge w:val="continue"/>
            <w:vAlign w:val="center"/>
          </w:tcPr>
          <w:p w14:paraId="56F6011A">
            <w:pPr>
              <w:jc w:val="center"/>
              <w:rPr>
                <w:rFonts w:hint="eastAsia" w:asciiTheme="minorEastAsia" w:hAnsiTheme="minorEastAsia" w:eastAsiaTheme="minorEastAsia" w:cstheme="minorEastAsia"/>
                <w:color w:val="auto"/>
                <w:highlight w:val="none"/>
              </w:rPr>
            </w:pPr>
          </w:p>
        </w:tc>
        <w:tc>
          <w:tcPr>
            <w:tcW w:w="7971" w:type="dxa"/>
            <w:vAlign w:val="center"/>
          </w:tcPr>
          <w:p w14:paraId="033DE65E">
            <w:pPr>
              <w:ind w:firstLine="240" w:firstLineChars="10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8、柜体质量具有一定的抗撞击、抗破坏能力，阻燃、绝缘、耐老化。</w:t>
            </w:r>
          </w:p>
        </w:tc>
      </w:tr>
    </w:tbl>
    <w:p w14:paraId="315394F3">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宋体" w:hAnsi="宋体" w:eastAsia="宋体" w:cs="宋体"/>
          <w:b/>
          <w:bCs/>
          <w:color w:val="000000" w:themeColor="text1"/>
          <w:szCs w:val="24"/>
          <w:highlight w:val="none"/>
          <w:lang w:val="en-US" w:eastAsia="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备注：</w:t>
      </w:r>
      <w:r>
        <w:rPr>
          <w:rFonts w:hint="eastAsia" w:ascii="宋体" w:hAnsi="宋体" w:eastAsia="宋体" w:cs="宋体"/>
          <w:b/>
          <w:bCs/>
          <w:color w:val="auto"/>
          <w:kern w:val="0"/>
          <w:szCs w:val="24"/>
          <w:highlight w:val="none"/>
          <w:lang w:val="en-US" w:eastAsia="zh-CN" w:bidi="ar"/>
        </w:rPr>
        <w:t>本项目</w:t>
      </w:r>
      <w:r>
        <w:rPr>
          <w:rFonts w:hint="eastAsia" w:ascii="宋体" w:hAnsi="宋体" w:eastAsia="宋体" w:cs="宋体"/>
          <w:b/>
          <w:bCs/>
          <w:color w:val="auto"/>
          <w:kern w:val="0"/>
          <w:szCs w:val="24"/>
          <w:highlight w:val="none"/>
          <w:lang w:bidi="ar"/>
        </w:rPr>
        <w:t>技术规格不得负偏离，否则为无效投标。</w:t>
      </w:r>
    </w:p>
    <w:p w14:paraId="48A42C64">
      <w:pPr>
        <w:keepNext w:val="0"/>
        <w:keepLines w:val="0"/>
        <w:pageBreakBefore w:val="0"/>
        <w:widowControl w:val="0"/>
        <w:kinsoku/>
        <w:wordWrap/>
        <w:overflowPunct/>
        <w:topLinePunct w:val="0"/>
        <w:autoSpaceDE/>
        <w:autoSpaceDN/>
        <w:bidi w:val="0"/>
        <w:adjustRightInd/>
        <w:snapToGrid/>
        <w:spacing w:line="550" w:lineRule="exact"/>
        <w:textAlignment w:val="auto"/>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eastAsia="zh-CN"/>
          <w14:textFill>
            <w14:solidFill>
              <w14:schemeClr w14:val="tx1"/>
            </w14:solidFill>
          </w14:textFill>
        </w:rPr>
        <w:t>三</w:t>
      </w:r>
      <w:r>
        <w:rPr>
          <w:rFonts w:hint="eastAsia" w:ascii="宋体" w:hAnsi="宋体" w:eastAsia="宋体" w:cs="宋体"/>
          <w:b/>
          <w:bCs/>
          <w:color w:val="000000" w:themeColor="text1"/>
          <w:szCs w:val="24"/>
          <w:highlight w:val="none"/>
          <w14:textFill>
            <w14:solidFill>
              <w14:schemeClr w14:val="tx1"/>
            </w14:solidFill>
          </w14:textFill>
        </w:rPr>
        <w:t>、商务要求</w:t>
      </w:r>
    </w:p>
    <w:p w14:paraId="14223076">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bookmarkStart w:id="80" w:name="bookmark20"/>
      <w:bookmarkEnd w:id="80"/>
      <w:bookmarkStart w:id="81" w:name="_Toc1636"/>
      <w:r>
        <w:rPr>
          <w:rFonts w:hint="eastAsia" w:ascii="宋体" w:hAnsi="宋体" w:eastAsia="宋体" w:cs="宋体"/>
          <w:color w:val="auto"/>
          <w:sz w:val="24"/>
          <w:szCs w:val="24"/>
          <w:highlight w:val="none"/>
          <w:lang w:val="en-US" w:eastAsia="zh-CN"/>
        </w:rPr>
        <w:t>1、项目地点：采购人指定地点；</w:t>
      </w:r>
    </w:p>
    <w:p w14:paraId="21D11ABE">
      <w:pPr>
        <w:spacing w:line="520" w:lineRule="exact"/>
        <w:ind w:firstLine="480" w:firstLineChars="200"/>
        <w:textAlignment w:val="baseline"/>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highlight w:val="none"/>
          <w:lang w:val="en-US" w:eastAsia="zh-CN"/>
        </w:rPr>
        <w:t>2、服务期限：</w:t>
      </w:r>
      <w:r>
        <w:rPr>
          <w:rFonts w:hint="eastAsia" w:ascii="宋体" w:hAnsi="宋体" w:eastAsia="宋体" w:cs="宋体"/>
          <w:color w:val="000000" w:themeColor="text1"/>
          <w:sz w:val="24"/>
          <w:szCs w:val="24"/>
          <w:highlight w:val="none"/>
          <w:lang w:val="en-US" w:eastAsia="zh-CN"/>
          <w14:textFill>
            <w14:solidFill>
              <w14:schemeClr w14:val="tx1"/>
            </w14:solidFill>
          </w14:textFill>
        </w:rPr>
        <w:t>自合同签订之日起180个日历天</w:t>
      </w:r>
    </w:p>
    <w:p w14:paraId="043CFFE3">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3、质量：合格，符合现行国家、地方及行业相关规范及采购人要求。</w:t>
      </w:r>
    </w:p>
    <w:p w14:paraId="0E1F320C">
      <w:pPr>
        <w:spacing w:line="520" w:lineRule="exact"/>
        <w:ind w:firstLine="480" w:firstLineChars="200"/>
        <w:textAlignment w:val="baseline"/>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highlight w:val="none"/>
          <w:lang w:val="en-US" w:eastAsia="zh-CN"/>
        </w:rPr>
        <w:t>4、付款方式：项目采购单位完成采购招标程序后，成交供应商凭成交通知书及合同，经逐级审核后申请项目合同价款，项目合同价款按项目进度支付。</w:t>
      </w:r>
    </w:p>
    <w:p w14:paraId="2B6BD0F0">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成果属权：本项目所指的全部原始资料、中间过渡及最终成果所有权属于采购人。未经采购人书面许可，成交供应商不得擅自将原始资料、中间过渡或最终成果复制自留或提供给其他任何单位和个人，为自己或其他任何单位和个人谋取利益。</w:t>
      </w:r>
    </w:p>
    <w:p w14:paraId="65461561">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6、保密要求</w:t>
      </w:r>
    </w:p>
    <w:p w14:paraId="360F922C">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1)采购人向成交供应商提供的全部资料，被视为保密资料，仅被用于它所规定的用途。除非得到采购人的同意，否则不能向任何第三方透露。</w:t>
      </w:r>
    </w:p>
    <w:p w14:paraId="7B4AA30C">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2)按照国家保密规定，对采购人提供的有关资料严格保密作业成果未经采购人同意不得使用，不得外传。</w:t>
      </w:r>
    </w:p>
    <w:p w14:paraId="28C6FE38">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3)成交供应商在本项目实施过程中，涉及属于涉密资料的，由成交供应商按照国家涉密要求执行，实施前应签定数据成果使用保密协议书，保密协议书作为合同文件的组成部分。</w:t>
      </w:r>
    </w:p>
    <w:p w14:paraId="71EE03D7">
      <w:pPr>
        <w:spacing w:line="560" w:lineRule="exact"/>
        <w:ind w:firstLine="470" w:firstLineChars="196"/>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7、</w:t>
      </w:r>
      <w:r>
        <w:rPr>
          <w:rFonts w:hint="eastAsia" w:ascii="宋体" w:hAnsi="宋体" w:eastAsia="宋体" w:cs="宋体"/>
          <w:color w:val="auto"/>
          <w:szCs w:val="24"/>
          <w:highlight w:val="none"/>
        </w:rPr>
        <w:t>违约责任：</w:t>
      </w:r>
    </w:p>
    <w:p w14:paraId="01715206">
      <w:pPr>
        <w:spacing w:line="560" w:lineRule="exact"/>
        <w:ind w:firstLine="470" w:firstLineChars="196"/>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rPr>
        <w:t>按《中华人民共和国</w:t>
      </w:r>
      <w:r>
        <w:rPr>
          <w:rFonts w:hint="eastAsia" w:ascii="宋体" w:hAnsi="宋体" w:eastAsia="宋体" w:cs="宋体"/>
          <w:color w:val="auto"/>
          <w:szCs w:val="24"/>
          <w:highlight w:val="none"/>
          <w:lang w:val="en-US" w:eastAsia="zh-CN"/>
        </w:rPr>
        <w:t>民法典</w:t>
      </w:r>
      <w:r>
        <w:rPr>
          <w:rFonts w:hint="eastAsia" w:ascii="宋体" w:hAnsi="宋体" w:eastAsia="宋体" w:cs="宋体"/>
          <w:color w:val="auto"/>
          <w:szCs w:val="24"/>
          <w:highlight w:val="none"/>
        </w:rPr>
        <w:t>》中的相关条款执行。</w:t>
      </w:r>
    </w:p>
    <w:p w14:paraId="7D81A07F">
      <w:pPr>
        <w:spacing w:line="560" w:lineRule="exact"/>
        <w:ind w:firstLine="470" w:firstLineChars="19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Cs w:val="24"/>
          <w:highlight w:val="none"/>
          <w:lang w:val="en-US" w:eastAsia="zh-CN"/>
        </w:rPr>
        <w:t>2</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rPr>
        <w:t>未按合同要求提供</w:t>
      </w:r>
      <w:r>
        <w:rPr>
          <w:rFonts w:hint="eastAsia" w:ascii="宋体" w:hAnsi="宋体" w:eastAsia="宋体" w:cs="宋体"/>
          <w:color w:val="auto"/>
          <w:szCs w:val="24"/>
          <w:highlight w:val="none"/>
          <w:lang w:eastAsia="zh-CN"/>
        </w:rPr>
        <w:t>服务或服务</w:t>
      </w:r>
      <w:r>
        <w:rPr>
          <w:rFonts w:hint="eastAsia" w:ascii="宋体" w:hAnsi="宋体" w:eastAsia="宋体" w:cs="宋体"/>
          <w:color w:val="auto"/>
          <w:szCs w:val="24"/>
          <w:highlight w:val="none"/>
        </w:rPr>
        <w:t>质量不能满足技术要求，采购方有权终止合同，并对供方违约行为进行追究，同时按《中华人民共和国政府采购法》的有关规定进行处罚。</w:t>
      </w:r>
    </w:p>
    <w:p w14:paraId="68E79EAF">
      <w:pPr>
        <w:spacing w:line="560" w:lineRule="exact"/>
        <w:ind w:firstLine="470" w:firstLineChars="196"/>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注：商务要求为实质性要求，不得负偏离</w:t>
      </w:r>
      <w:r>
        <w:rPr>
          <w:rFonts w:hint="eastAsia" w:ascii="宋体" w:hAnsi="宋体" w:eastAsia="宋体" w:cs="宋体"/>
          <w:color w:val="auto"/>
          <w:szCs w:val="24"/>
          <w:highlight w:val="none"/>
          <w:lang w:eastAsia="zh-CN"/>
        </w:rPr>
        <w:t>。</w:t>
      </w:r>
    </w:p>
    <w:p w14:paraId="16A93A6D">
      <w:pPr>
        <w:spacing w:line="560" w:lineRule="exact"/>
        <w:rPr>
          <w:rFonts w:hint="eastAsia" w:ascii="宋体" w:hAnsi="宋体" w:eastAsia="宋体" w:cs="宋体"/>
          <w:color w:val="auto"/>
          <w:szCs w:val="24"/>
          <w:highlight w:val="none"/>
          <w:lang w:eastAsia="zh-CN"/>
        </w:rPr>
        <w:sectPr>
          <w:footerReference r:id="rId5" w:type="default"/>
          <w:pgSz w:w="11907" w:h="16840"/>
          <w:pgMar w:top="1440" w:right="1080" w:bottom="1440" w:left="1080" w:header="935" w:footer="771" w:gutter="567"/>
          <w:cols w:space="0" w:num="1"/>
          <w:docGrid w:linePitch="312" w:charSpace="0"/>
        </w:sectPr>
      </w:pPr>
    </w:p>
    <w:p w14:paraId="31EB95DC">
      <w:pPr>
        <w:tabs>
          <w:tab w:val="left" w:pos="1080"/>
          <w:tab w:val="left" w:pos="1155"/>
        </w:tabs>
        <w:spacing w:line="520" w:lineRule="exact"/>
        <w:jc w:val="center"/>
        <w:outlineLvl w:val="0"/>
        <w:rPr>
          <w:rFonts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第四章</w:t>
      </w:r>
      <w:r>
        <w:rPr>
          <w:rFonts w:hint="eastAsia" w:ascii="宋体" w:hAnsi="宋体" w:eastAsia="宋体" w:cs="宋体"/>
          <w:b/>
          <w:bCs/>
          <w:color w:val="000000" w:themeColor="text1"/>
          <w:kern w:val="0"/>
          <w:sz w:val="36"/>
          <w:szCs w:val="36"/>
          <w:highlight w:val="none"/>
          <w14:textFill>
            <w14:solidFill>
              <w14:schemeClr w14:val="tx1"/>
            </w14:solidFill>
          </w14:textFill>
        </w:rPr>
        <w:t xml:space="preserve">  </w:t>
      </w:r>
      <w:bookmarkStart w:id="82" w:name="_Toc458617747"/>
      <w:bookmarkStart w:id="83" w:name="_Toc16393"/>
      <w:bookmarkStart w:id="84" w:name="_Toc458617470"/>
      <w:r>
        <w:rPr>
          <w:rFonts w:hint="eastAsia" w:ascii="宋体" w:hAnsi="宋体" w:eastAsia="宋体" w:cs="宋体"/>
          <w:b/>
          <w:bCs/>
          <w:color w:val="000000" w:themeColor="text1"/>
          <w:sz w:val="32"/>
          <w:szCs w:val="32"/>
          <w:highlight w:val="none"/>
          <w14:textFill>
            <w14:solidFill>
              <w14:schemeClr w14:val="tx1"/>
            </w14:solidFill>
          </w14:textFill>
        </w:rPr>
        <w:t>合同主要条款及格式</w:t>
      </w:r>
      <w:bookmarkEnd w:id="61"/>
      <w:bookmarkEnd w:id="62"/>
      <w:bookmarkEnd w:id="81"/>
    </w:p>
    <w:p w14:paraId="654EB5BC">
      <w:pPr>
        <w:tabs>
          <w:tab w:val="left" w:pos="1080"/>
          <w:tab w:val="left" w:pos="1155"/>
        </w:tabs>
        <w:spacing w:line="560" w:lineRule="exact"/>
        <w:jc w:val="center"/>
        <w:rPr>
          <w:rFonts w:ascii="宋体" w:hAnsi="宋体" w:eastAsia="宋体" w:cs="宋体"/>
          <w:b/>
          <w:bCs/>
          <w:sz w:val="30"/>
          <w:szCs w:val="30"/>
          <w:highlight w:val="none"/>
        </w:rPr>
      </w:pPr>
      <w:bookmarkStart w:id="85" w:name="_Toc1791"/>
      <w:bookmarkStart w:id="86" w:name="_Toc129703224"/>
      <w:r>
        <w:rPr>
          <w:rFonts w:hint="eastAsia" w:ascii="宋体" w:hAnsi="宋体" w:eastAsia="宋体" w:cs="宋体"/>
          <w:b/>
          <w:bCs/>
          <w:sz w:val="30"/>
          <w:szCs w:val="30"/>
          <w:highlight w:val="none"/>
        </w:rPr>
        <w:t>（合同仅供参考，具体以中标后双方协议合同为准。）</w:t>
      </w:r>
    </w:p>
    <w:p w14:paraId="226BA35D">
      <w:pPr>
        <w:spacing w:line="480" w:lineRule="exact"/>
        <w:ind w:firstLine="482" w:firstLineChars="200"/>
        <w:rPr>
          <w:rFonts w:ascii="宋体" w:hAnsi="宋体" w:eastAsia="宋体" w:cs="宋体"/>
          <w:b/>
          <w:szCs w:val="24"/>
          <w:highlight w:val="none"/>
        </w:rPr>
      </w:pPr>
      <w:r>
        <w:rPr>
          <w:rFonts w:hint="eastAsia" w:ascii="宋体" w:hAnsi="宋体" w:eastAsia="宋体" w:cs="宋体"/>
          <w:b/>
          <w:szCs w:val="24"/>
          <w:highlight w:val="none"/>
        </w:rPr>
        <w:t>采购人（全称）：</w:t>
      </w:r>
      <w:r>
        <w:rPr>
          <w:rFonts w:hint="eastAsia" w:ascii="宋体" w:hAnsi="宋体" w:eastAsia="宋体" w:cs="宋体"/>
          <w:b/>
          <w:szCs w:val="24"/>
          <w:highlight w:val="none"/>
          <w:u w:val="single"/>
        </w:rPr>
        <w:t xml:space="preserve">                       </w:t>
      </w:r>
    </w:p>
    <w:p w14:paraId="38645A25">
      <w:pPr>
        <w:spacing w:line="480" w:lineRule="exact"/>
        <w:ind w:firstLine="482" w:firstLineChars="200"/>
        <w:rPr>
          <w:rFonts w:ascii="宋体" w:hAnsi="宋体" w:eastAsia="宋体" w:cs="宋体"/>
          <w:szCs w:val="24"/>
          <w:highlight w:val="none"/>
        </w:rPr>
      </w:pPr>
      <w:r>
        <w:rPr>
          <w:rFonts w:hint="eastAsia" w:ascii="宋体" w:hAnsi="宋体" w:eastAsia="宋体" w:cs="宋体"/>
          <w:b/>
          <w:szCs w:val="24"/>
          <w:highlight w:val="none"/>
        </w:rPr>
        <w:t>供应商（全称）：</w:t>
      </w:r>
      <w:r>
        <w:rPr>
          <w:rFonts w:hint="eastAsia" w:ascii="宋体" w:hAnsi="宋体" w:eastAsia="宋体" w:cs="宋体"/>
          <w:b/>
          <w:szCs w:val="24"/>
          <w:highlight w:val="none"/>
          <w:u w:val="single"/>
        </w:rPr>
        <w:t xml:space="preserve">                       </w:t>
      </w:r>
    </w:p>
    <w:p w14:paraId="0C4CB15B">
      <w:pPr>
        <w:spacing w:line="480" w:lineRule="exact"/>
        <w:ind w:firstLine="480" w:firstLineChars="200"/>
        <w:rPr>
          <w:rFonts w:ascii="宋体" w:hAnsi="宋体" w:eastAsia="宋体" w:cs="宋体"/>
          <w:szCs w:val="24"/>
          <w:highlight w:val="none"/>
          <w:u w:val="single"/>
        </w:rPr>
      </w:pPr>
      <w:r>
        <w:rPr>
          <w:rFonts w:hint="eastAsia" w:ascii="宋体" w:hAnsi="宋体" w:eastAsia="宋体" w:cs="宋体"/>
          <w:szCs w:val="24"/>
          <w:highlight w:val="none"/>
        </w:rPr>
        <w:t>根据《中华人民共和国民法典》及其他有关法律、法规，遵循平等、自愿、公平和诚信的原则，双方就下述项目范围与相关服务事项协商一致，订立本合同。</w:t>
      </w:r>
    </w:p>
    <w:p w14:paraId="227C5FA9">
      <w:pPr>
        <w:spacing w:line="480" w:lineRule="exact"/>
        <w:rPr>
          <w:rFonts w:ascii="宋体" w:hAnsi="宋体" w:eastAsia="宋体" w:cs="宋体"/>
          <w:b/>
          <w:szCs w:val="24"/>
          <w:highlight w:val="none"/>
        </w:rPr>
      </w:pPr>
      <w:r>
        <w:rPr>
          <w:rFonts w:hint="eastAsia" w:ascii="宋体" w:hAnsi="宋体" w:eastAsia="宋体" w:cs="宋体"/>
          <w:b/>
          <w:szCs w:val="24"/>
          <w:highlight w:val="none"/>
        </w:rPr>
        <w:t>一、项目概况</w:t>
      </w:r>
    </w:p>
    <w:p w14:paraId="41CC85B3">
      <w:pPr>
        <w:spacing w:line="560" w:lineRule="exact"/>
        <w:ind w:firstLine="475" w:firstLineChars="198"/>
        <w:rPr>
          <w:rFonts w:ascii="宋体" w:hAnsi="宋体" w:eastAsia="宋体" w:cs="宋体"/>
          <w:color w:val="FF0000"/>
          <w:szCs w:val="24"/>
          <w:highlight w:val="none"/>
          <w:u w:val="single"/>
        </w:rPr>
      </w:pPr>
      <w:r>
        <w:rPr>
          <w:rFonts w:hint="eastAsia" w:ascii="宋体" w:hAnsi="宋体" w:eastAsia="宋体" w:cs="宋体"/>
          <w:szCs w:val="24"/>
          <w:highlight w:val="none"/>
        </w:rPr>
        <w:t>1. 项目名称：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31AC95E9">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2. 服务期限：</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623C6692">
      <w:pPr>
        <w:spacing w:line="560" w:lineRule="exact"/>
        <w:ind w:firstLine="475" w:firstLineChars="198"/>
        <w:rPr>
          <w:rFonts w:ascii="宋体" w:hAnsi="宋体" w:eastAsia="宋体" w:cs="宋体"/>
          <w:szCs w:val="24"/>
          <w:highlight w:val="none"/>
        </w:rPr>
      </w:pP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服务</w:t>
      </w:r>
      <w:r>
        <w:rPr>
          <w:rFonts w:hint="eastAsia" w:ascii="宋体" w:hAnsi="宋体" w:eastAsia="宋体" w:cs="宋体"/>
          <w:szCs w:val="24"/>
          <w:highlight w:val="none"/>
        </w:rPr>
        <w:t>地点：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3F75E7C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采购</w:t>
      </w:r>
      <w:r>
        <w:rPr>
          <w:rFonts w:hint="eastAsia" w:ascii="宋体" w:hAnsi="宋体" w:eastAsia="宋体" w:cs="宋体"/>
          <w:szCs w:val="24"/>
          <w:highlight w:val="none"/>
        </w:rPr>
        <w:t>内容：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067D2B83">
      <w:pPr>
        <w:spacing w:line="480" w:lineRule="exact"/>
        <w:rPr>
          <w:rFonts w:ascii="宋体" w:hAnsi="宋体" w:eastAsia="宋体" w:cs="宋体"/>
          <w:b/>
          <w:szCs w:val="24"/>
          <w:highlight w:val="none"/>
        </w:rPr>
      </w:pPr>
      <w:r>
        <w:rPr>
          <w:rFonts w:hint="eastAsia" w:ascii="宋体" w:hAnsi="宋体" w:eastAsia="宋体" w:cs="宋体"/>
          <w:b/>
          <w:szCs w:val="24"/>
          <w:highlight w:val="none"/>
        </w:rPr>
        <w:t>二、组成本合同的文件</w:t>
      </w:r>
    </w:p>
    <w:p w14:paraId="1DC5833C">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1. 协议书；</w:t>
      </w:r>
    </w:p>
    <w:p w14:paraId="21165C8E">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2. 成交通知书、磋商文件、磋商响应文件、澄清、磋商补充文件；</w:t>
      </w:r>
    </w:p>
    <w:p w14:paraId="42DE882F">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 相关服务建议书；</w:t>
      </w:r>
    </w:p>
    <w:p w14:paraId="7E64A196">
      <w:pPr>
        <w:spacing w:line="480" w:lineRule="exact"/>
        <w:rPr>
          <w:rFonts w:ascii="宋体" w:hAnsi="宋体" w:eastAsia="宋体" w:cs="宋体"/>
          <w:szCs w:val="24"/>
          <w:highlight w:val="none"/>
        </w:rPr>
      </w:pPr>
      <w:r>
        <w:rPr>
          <w:rFonts w:hint="eastAsia" w:ascii="宋体" w:hAnsi="宋体" w:eastAsia="宋体" w:cs="宋体"/>
          <w:szCs w:val="24"/>
          <w:highlight w:val="none"/>
        </w:rPr>
        <w:t xml:space="preserve">    4. 附录，即：附表内相关服务的范围和内容；</w:t>
      </w:r>
    </w:p>
    <w:p w14:paraId="4B840AE5">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本合同签订后，双方依法签订的补充协议也是本合同文件的组成部分。</w:t>
      </w:r>
    </w:p>
    <w:p w14:paraId="5EF658F8">
      <w:pPr>
        <w:spacing w:line="480" w:lineRule="exact"/>
        <w:rPr>
          <w:rFonts w:ascii="宋体" w:hAnsi="宋体" w:eastAsia="宋体" w:cs="宋体"/>
          <w:b/>
          <w:szCs w:val="24"/>
          <w:highlight w:val="none"/>
        </w:rPr>
      </w:pPr>
      <w:r>
        <w:rPr>
          <w:rFonts w:hint="eastAsia" w:ascii="宋体" w:hAnsi="宋体" w:eastAsia="宋体" w:cs="宋体"/>
          <w:b/>
          <w:szCs w:val="24"/>
          <w:highlight w:val="none"/>
        </w:rPr>
        <w:t>三、合同金额</w:t>
      </w:r>
    </w:p>
    <w:p w14:paraId="27EA5BE9">
      <w:pPr>
        <w:spacing w:line="480" w:lineRule="exact"/>
        <w:ind w:firstLine="475" w:firstLineChars="198"/>
        <w:rPr>
          <w:rFonts w:ascii="宋体" w:hAnsi="宋体" w:eastAsia="宋体" w:cs="宋体"/>
          <w:szCs w:val="24"/>
          <w:highlight w:val="none"/>
        </w:rPr>
      </w:pPr>
      <w:r>
        <w:rPr>
          <w:rFonts w:hint="eastAsia" w:ascii="宋体" w:hAnsi="宋体" w:eastAsia="宋体" w:cs="宋体"/>
          <w:szCs w:val="24"/>
          <w:highlight w:val="none"/>
        </w:rPr>
        <w:t>合同价款形式：</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687693F0">
      <w:pPr>
        <w:spacing w:line="480" w:lineRule="exact"/>
        <w:ind w:firstLine="475" w:firstLineChars="198"/>
        <w:rPr>
          <w:rFonts w:hint="eastAsia" w:ascii="宋体" w:hAnsi="宋体" w:eastAsia="宋体" w:cs="宋体"/>
          <w:szCs w:val="24"/>
          <w:highlight w:val="none"/>
        </w:rPr>
      </w:pPr>
      <w:r>
        <w:rPr>
          <w:rFonts w:hint="eastAsia" w:ascii="宋体" w:hAnsi="宋体" w:eastAsia="宋体" w:cs="宋体"/>
          <w:szCs w:val="24"/>
          <w:highlight w:val="none"/>
        </w:rPr>
        <w:t>合同金额（大写）：</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2B7EB316">
      <w:pPr>
        <w:spacing w:line="480" w:lineRule="exact"/>
        <w:rPr>
          <w:rFonts w:ascii="宋体" w:hAnsi="宋体" w:eastAsia="宋体" w:cs="宋体"/>
          <w:b/>
          <w:szCs w:val="24"/>
          <w:highlight w:val="none"/>
        </w:rPr>
      </w:pPr>
      <w:r>
        <w:rPr>
          <w:rFonts w:hint="eastAsia" w:ascii="宋体" w:hAnsi="宋体" w:eastAsia="宋体" w:cs="宋体"/>
          <w:b/>
          <w:szCs w:val="24"/>
          <w:highlight w:val="none"/>
        </w:rPr>
        <w:t>四、结算方式</w:t>
      </w:r>
    </w:p>
    <w:p w14:paraId="3AB0357E">
      <w:pPr>
        <w:spacing w:line="480" w:lineRule="exact"/>
        <w:rPr>
          <w:rFonts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rPr>
        <w:t>1.本项目结算方式：合同总价</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。在付款前，乙方必须开具等额增值税发票金额给甲方。</w:t>
      </w:r>
    </w:p>
    <w:p w14:paraId="65B56CFE">
      <w:pPr>
        <w:adjustRightInd w:val="0"/>
        <w:snapToGrid w:val="0"/>
        <w:spacing w:line="480" w:lineRule="exact"/>
        <w:ind w:firstLine="480" w:firstLineChars="200"/>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szCs w:val="24"/>
          <w:highlight w:val="none"/>
        </w:rPr>
        <w:t>2.付款方式：</w:t>
      </w:r>
      <w:r>
        <w:rPr>
          <w:rFonts w:hint="eastAsia" w:ascii="宋体" w:hAnsi="宋体" w:eastAsia="宋体" w:cs="宋体"/>
          <w:szCs w:val="24"/>
          <w:highlight w:val="none"/>
          <w:lang w:val="en-US" w:eastAsia="zh-CN"/>
        </w:rPr>
        <w:t>项目采购单位完成采购招标程序后，成交供应商凭成交通知书及合同，经逐级审核后申请项目合同价款，项目合同价款按项目进度支付。</w:t>
      </w:r>
    </w:p>
    <w:p w14:paraId="1C3E0CF7">
      <w:pPr>
        <w:spacing w:line="480" w:lineRule="exact"/>
        <w:rPr>
          <w:rFonts w:ascii="宋体" w:hAnsi="宋体" w:eastAsia="宋体" w:cs="宋体"/>
          <w:b/>
          <w:szCs w:val="24"/>
          <w:highlight w:val="none"/>
        </w:rPr>
      </w:pPr>
      <w:r>
        <w:rPr>
          <w:rFonts w:hint="eastAsia" w:ascii="宋体" w:hAnsi="宋体" w:eastAsia="宋体" w:cs="宋体"/>
          <w:b/>
          <w:szCs w:val="24"/>
          <w:highlight w:val="none"/>
        </w:rPr>
        <w:t>五、双方权利和义务</w:t>
      </w:r>
    </w:p>
    <w:p w14:paraId="1442DAED">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1.甲方的主要责任和权力</w:t>
      </w:r>
    </w:p>
    <w:p w14:paraId="5FC3801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（1）甲方负责提供所需的相关基础资料及配合其他相关工作；</w:t>
      </w:r>
    </w:p>
    <w:p w14:paraId="5BF8AD3C">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（2）甲方应根据本合同规定，按期足额将项目经费拨付给乙方；</w:t>
      </w:r>
    </w:p>
    <w:p w14:paraId="620601F8">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（3）甲方有权审查乙方的工作内容及进度，有权向乙方表达对项目内容的意见和建议，乙方应予以充分考虑；</w:t>
      </w:r>
    </w:p>
    <w:p w14:paraId="641E2A13">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（4）甲方有权对项目提出成果要求，督促乙方按计划完成项目并提交符合验收标准的成果。</w:t>
      </w:r>
    </w:p>
    <w:p w14:paraId="201CE487">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2.乙方的主要责任和权力</w:t>
      </w:r>
    </w:p>
    <w:p w14:paraId="1DEC241F">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（1）乙方应保质保量按期完成任务。</w:t>
      </w:r>
    </w:p>
    <w:p w14:paraId="311B7B55">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（2）乙方提交的项目成果经验收必须达到相关规范标准。</w:t>
      </w:r>
    </w:p>
    <w:p w14:paraId="33EB1636">
      <w:pPr>
        <w:spacing w:line="480" w:lineRule="exact"/>
        <w:ind w:firstLine="480" w:firstLineChars="200"/>
        <w:rPr>
          <w:rFonts w:ascii="宋体" w:hAnsi="宋体" w:eastAsia="宋体" w:cs="宋体"/>
          <w:szCs w:val="24"/>
          <w:highlight w:val="none"/>
        </w:rPr>
      </w:pPr>
      <w:r>
        <w:rPr>
          <w:rFonts w:hint="eastAsia" w:ascii="宋体" w:hAnsi="宋体" w:eastAsia="宋体" w:cs="宋体"/>
          <w:szCs w:val="24"/>
          <w:highlight w:val="none"/>
        </w:rPr>
        <w:t>（3）乙方应正确使用项目经费，对甲方拨付的项目经费实行专款专用。</w:t>
      </w:r>
    </w:p>
    <w:p w14:paraId="17B31F64">
      <w:pPr>
        <w:tabs>
          <w:tab w:val="left" w:pos="840"/>
        </w:tabs>
        <w:spacing w:line="480" w:lineRule="exact"/>
        <w:ind w:firstLine="480" w:firstLineChars="200"/>
        <w:rPr>
          <w:rFonts w:ascii="宋体" w:hAnsi="宋体" w:eastAsia="宋体" w:cs="宋体"/>
          <w:b/>
          <w:szCs w:val="24"/>
          <w:highlight w:val="none"/>
        </w:rPr>
      </w:pPr>
      <w:r>
        <w:rPr>
          <w:rFonts w:hint="eastAsia" w:ascii="宋体" w:hAnsi="宋体" w:eastAsia="宋体" w:cs="宋体"/>
          <w:szCs w:val="24"/>
          <w:highlight w:val="none"/>
        </w:rPr>
        <w:t>（4）乙方应依照合同约定移交所有项目成果。</w:t>
      </w:r>
    </w:p>
    <w:p w14:paraId="56547D70">
      <w:pPr>
        <w:spacing w:line="560" w:lineRule="exact"/>
        <w:rPr>
          <w:rFonts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六、</w:t>
      </w:r>
      <w:r>
        <w:rPr>
          <w:rFonts w:hint="eastAsia" w:ascii="宋体" w:hAnsi="宋体" w:eastAsia="宋体" w:cs="宋体"/>
          <w:b/>
          <w:bCs/>
          <w:color w:val="000000" w:themeColor="text1"/>
          <w:szCs w:val="24"/>
          <w:highlight w:val="none"/>
          <w:lang w:val="zh-CN"/>
          <w14:textFill>
            <w14:solidFill>
              <w14:schemeClr w14:val="tx1"/>
            </w14:solidFill>
          </w14:textFill>
        </w:rPr>
        <w:t>履约保证金</w:t>
      </w:r>
    </w:p>
    <w:p w14:paraId="0F716F4D">
      <w:pPr>
        <w:spacing w:line="560" w:lineRule="exact"/>
        <w:ind w:firstLine="480" w:firstLineChars="200"/>
        <w:rPr>
          <w:rFonts w:ascii="宋体" w:hAnsi="宋体" w:eastAsia="宋体" w:cs="宋体"/>
          <w:b/>
          <w:szCs w:val="24"/>
          <w:highlight w:val="none"/>
        </w:rPr>
      </w:pPr>
      <w:r>
        <w:rPr>
          <w:rFonts w:hint="eastAsia" w:ascii="宋体" w:hAnsi="宋体" w:eastAsia="宋体" w:cs="宋体"/>
          <w:bCs/>
          <w:szCs w:val="24"/>
          <w:highlight w:val="none"/>
        </w:rPr>
        <w:t>具体以甲方双方在签订合同时协商为准，最高不得超过法律法规标准要求。</w:t>
      </w:r>
    </w:p>
    <w:p w14:paraId="3AB4319F">
      <w:pPr>
        <w:spacing w:line="560" w:lineRule="exact"/>
        <w:rPr>
          <w:rFonts w:ascii="宋体" w:hAnsi="宋体" w:eastAsia="宋体" w:cs="宋体"/>
          <w:b/>
          <w:szCs w:val="24"/>
          <w:highlight w:val="none"/>
        </w:rPr>
      </w:pPr>
      <w:r>
        <w:rPr>
          <w:rFonts w:hint="eastAsia" w:ascii="宋体" w:hAnsi="宋体" w:eastAsia="宋体" w:cs="宋体"/>
          <w:b/>
          <w:szCs w:val="24"/>
          <w:highlight w:val="none"/>
        </w:rPr>
        <w:t>七、合同争议的解决</w:t>
      </w:r>
    </w:p>
    <w:p w14:paraId="55B7A70E">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合同执行中发生争议的，当事人双方应协商解决。协商达不成一致时，可提交</w:t>
      </w:r>
      <w:r>
        <w:rPr>
          <w:rFonts w:hint="eastAsia" w:ascii="宋体" w:hAnsi="宋体" w:eastAsia="宋体" w:cs="宋体"/>
          <w:szCs w:val="24"/>
          <w:highlight w:val="none"/>
          <w:lang w:val="en-US" w:eastAsia="zh-CN"/>
        </w:rPr>
        <w:t>宝鸡市</w:t>
      </w:r>
      <w:r>
        <w:rPr>
          <w:rFonts w:hint="eastAsia" w:ascii="宋体" w:hAnsi="宋体" w:eastAsia="宋体" w:cs="宋体"/>
          <w:szCs w:val="24"/>
          <w:highlight w:val="none"/>
        </w:rPr>
        <w:t>仲裁委员会进行仲裁或者向人民法院提请诉讼。</w:t>
      </w:r>
    </w:p>
    <w:p w14:paraId="160E00E1">
      <w:pPr>
        <w:spacing w:line="560" w:lineRule="exact"/>
        <w:rPr>
          <w:rFonts w:ascii="宋体" w:hAnsi="宋体" w:eastAsia="宋体" w:cs="宋体"/>
          <w:b/>
          <w:szCs w:val="24"/>
          <w:highlight w:val="none"/>
        </w:rPr>
      </w:pPr>
      <w:r>
        <w:rPr>
          <w:rFonts w:hint="eastAsia" w:ascii="宋体" w:hAnsi="宋体" w:eastAsia="宋体" w:cs="宋体"/>
          <w:b/>
          <w:szCs w:val="24"/>
          <w:highlight w:val="none"/>
        </w:rPr>
        <w:t>八、协议的生效、变更与解除</w:t>
      </w:r>
    </w:p>
    <w:p w14:paraId="53550ED4">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1.本合同自双方签字盖章之日起生效。</w:t>
      </w:r>
    </w:p>
    <w:p w14:paraId="477464A9">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2.合同双方任何一方提出变更合同或解除合同的要求时，应与另一方协商，获取另一方同意后，签订变更条款或协议，作为本合同的正式附件，方可执行。</w:t>
      </w:r>
    </w:p>
    <w:p w14:paraId="4B7AB890">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3.一方因对方违反合同或由于不可抗力因素，致使合同履行成为不可能或不必要，有权通知另一方解除合同。</w:t>
      </w:r>
    </w:p>
    <w:p w14:paraId="70C17C8C">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4.合同双方任何一方逾期两个月不履行合同规定的义务，对方有权解除合同，并索取赔偿。</w:t>
      </w:r>
    </w:p>
    <w:p w14:paraId="733B6676">
      <w:pPr>
        <w:spacing w:line="560" w:lineRule="exact"/>
        <w:ind w:firstLine="480"/>
        <w:rPr>
          <w:rFonts w:ascii="宋体" w:hAnsi="宋体" w:eastAsia="宋体" w:cs="宋体"/>
          <w:szCs w:val="24"/>
          <w:highlight w:val="none"/>
        </w:rPr>
      </w:pPr>
      <w:r>
        <w:rPr>
          <w:rFonts w:hint="eastAsia" w:ascii="宋体" w:hAnsi="宋体" w:eastAsia="宋体" w:cs="宋体"/>
          <w:szCs w:val="24"/>
          <w:highlight w:val="none"/>
        </w:rPr>
        <w:t>5.变更或解除合同造成的损失由双方协商或按责任原则分别承担。</w:t>
      </w:r>
    </w:p>
    <w:p w14:paraId="552F4917">
      <w:pPr>
        <w:spacing w:line="560" w:lineRule="exact"/>
        <w:rPr>
          <w:rFonts w:ascii="宋体" w:hAnsi="宋体" w:eastAsia="宋体" w:cs="宋体"/>
          <w:b/>
          <w:szCs w:val="24"/>
          <w:highlight w:val="none"/>
        </w:rPr>
      </w:pPr>
      <w:r>
        <w:rPr>
          <w:rFonts w:hint="eastAsia" w:ascii="宋体" w:hAnsi="宋体" w:eastAsia="宋体" w:cs="宋体"/>
          <w:b/>
          <w:szCs w:val="24"/>
          <w:highlight w:val="none"/>
        </w:rPr>
        <w:t>九、不可抗力情况下的免责约定</w:t>
      </w:r>
    </w:p>
    <w:p w14:paraId="7D166C72">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eastAsia="宋体" w:cs="宋体"/>
          <w:szCs w:val="24"/>
          <w:highlight w:val="none"/>
        </w:rPr>
      </w:pPr>
      <w:r>
        <w:rPr>
          <w:rFonts w:hint="eastAsia" w:ascii="宋体" w:hAnsi="宋体" w:eastAsia="宋体" w:cs="宋体"/>
          <w:szCs w:val="24"/>
          <w:highlight w:val="none"/>
        </w:rPr>
        <w:t xml:space="preserve">    双方约定不可抗力情况指：双方不可预见、不可避免、不可克服的客观情况，但不包括双方的违约或疏忽。这些事件包括但不限于：战争、严重火灾、洪水、台风、地震等。</w:t>
      </w:r>
    </w:p>
    <w:p w14:paraId="7618CCEC">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eastAsia="宋体" w:cs="宋体"/>
          <w:b/>
          <w:szCs w:val="24"/>
          <w:highlight w:val="none"/>
        </w:rPr>
      </w:pPr>
      <w:r>
        <w:rPr>
          <w:rFonts w:hint="eastAsia" w:ascii="宋体" w:hAnsi="宋体" w:eastAsia="宋体" w:cs="宋体"/>
          <w:b/>
          <w:szCs w:val="24"/>
          <w:highlight w:val="none"/>
        </w:rPr>
        <w:t>十、违约责任</w:t>
      </w:r>
    </w:p>
    <w:p w14:paraId="1050B49C">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eastAsia="宋体" w:cs="宋体"/>
          <w:szCs w:val="24"/>
          <w:highlight w:val="none"/>
        </w:rPr>
      </w:pPr>
      <w:r>
        <w:rPr>
          <w:rFonts w:hint="eastAsia" w:ascii="宋体" w:hAnsi="宋体" w:eastAsia="宋体" w:cs="宋体"/>
          <w:szCs w:val="24"/>
          <w:highlight w:val="none"/>
        </w:rPr>
        <w:t xml:space="preserve">    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67C97707">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eastAsia="宋体" w:cs="宋体"/>
          <w:szCs w:val="24"/>
          <w:highlight w:val="none"/>
          <w:u w:val="single"/>
        </w:rPr>
      </w:pPr>
      <w:r>
        <w:rPr>
          <w:rFonts w:hint="eastAsia" w:ascii="宋体" w:hAnsi="宋体" w:eastAsia="宋体" w:cs="宋体"/>
          <w:b/>
          <w:szCs w:val="24"/>
          <w:highlight w:val="none"/>
        </w:rPr>
        <w:t>十一、其他（</w:t>
      </w:r>
      <w:r>
        <w:rPr>
          <w:rFonts w:hint="eastAsia" w:ascii="宋体" w:hAnsi="宋体" w:eastAsia="宋体" w:cs="宋体"/>
          <w:szCs w:val="24"/>
          <w:highlight w:val="none"/>
        </w:rPr>
        <w:t>在合同中具体明确）</w:t>
      </w:r>
      <w:r>
        <w:rPr>
          <w:rFonts w:hint="eastAsia" w:ascii="宋体" w:hAnsi="宋体" w:eastAsia="宋体" w:cs="宋体"/>
          <w:szCs w:val="24"/>
          <w:highlight w:val="none"/>
          <w:u w:val="single"/>
        </w:rPr>
        <w:t xml:space="preserve">                                                                                 </w:t>
      </w:r>
    </w:p>
    <w:p w14:paraId="4024E2E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eastAsia="宋体" w:cs="宋体"/>
          <w:b/>
          <w:szCs w:val="24"/>
          <w:highlight w:val="none"/>
        </w:rPr>
      </w:pPr>
      <w:r>
        <w:rPr>
          <w:rFonts w:hint="eastAsia" w:ascii="宋体" w:hAnsi="宋体" w:eastAsia="宋体" w:cs="宋体"/>
          <w:b/>
          <w:szCs w:val="24"/>
          <w:highlight w:val="none"/>
        </w:rPr>
        <w:t>十二、合同订立</w:t>
      </w:r>
    </w:p>
    <w:p w14:paraId="74CD4F86">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1. 订立时间：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260CEE8">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2. 订立地点：</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w:t>
      </w:r>
    </w:p>
    <w:p w14:paraId="52680BE9">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本合同协议书一式陆份，双方各持叁份，具有同等法律效力；合同协议书经双方代表签字先复印后加盖单位章后即产生法律效力，服务费用结清后失效。双方要恪守信誉，严格履行。</w:t>
      </w:r>
    </w:p>
    <w:p w14:paraId="1E511D94">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本合同协议书未尽事宜由双方协商解决。</w:t>
      </w:r>
    </w:p>
    <w:p w14:paraId="3B5ED9B2">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采购人：</w:t>
      </w:r>
      <w:r>
        <w:rPr>
          <w:rFonts w:hint="eastAsia" w:ascii="宋体" w:hAnsi="宋体" w:eastAsia="宋体" w:cs="宋体"/>
          <w:szCs w:val="24"/>
          <w:highlight w:val="none"/>
          <w:u w:val="single"/>
        </w:rPr>
        <w:t xml:space="preserve">   （盖章）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供应商：</w:t>
      </w:r>
      <w:r>
        <w:rPr>
          <w:rFonts w:hint="eastAsia" w:ascii="宋体" w:hAnsi="宋体" w:eastAsia="宋体" w:cs="宋体"/>
          <w:szCs w:val="24"/>
          <w:highlight w:val="none"/>
          <w:u w:val="single"/>
        </w:rPr>
        <w:t xml:space="preserve">   （盖章）         </w:t>
      </w:r>
    </w:p>
    <w:p w14:paraId="453C3C24">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u w:val="single"/>
        </w:rPr>
      </w:pPr>
      <w:r>
        <w:rPr>
          <w:rFonts w:hint="eastAsia" w:ascii="宋体" w:hAnsi="宋体" w:eastAsia="宋体" w:cs="宋体"/>
          <w:szCs w:val="24"/>
          <w:highlight w:val="none"/>
        </w:rPr>
        <w:t xml:space="preserve">地 址：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地  址：</w:t>
      </w:r>
      <w:r>
        <w:rPr>
          <w:rFonts w:hint="eastAsia" w:ascii="宋体" w:hAnsi="宋体" w:eastAsia="宋体" w:cs="宋体"/>
          <w:szCs w:val="24"/>
          <w:highlight w:val="none"/>
          <w:u w:val="single"/>
        </w:rPr>
        <w:t xml:space="preserve">                    </w:t>
      </w:r>
    </w:p>
    <w:p w14:paraId="3C7B680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Cs w:val="24"/>
          <w:highlight w:val="none"/>
        </w:rPr>
      </w:pPr>
      <w:r>
        <w:rPr>
          <w:rFonts w:hint="eastAsia" w:ascii="宋体" w:hAnsi="宋体" w:eastAsia="宋体" w:cs="宋体"/>
          <w:szCs w:val="24"/>
          <w:highlight w:val="none"/>
        </w:rPr>
        <w:t>邮政编码：</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邮政编码：</w:t>
      </w:r>
      <w:r>
        <w:rPr>
          <w:rFonts w:hint="eastAsia" w:ascii="宋体" w:hAnsi="宋体" w:eastAsia="宋体" w:cs="宋体"/>
          <w:szCs w:val="24"/>
          <w:highlight w:val="none"/>
          <w:u w:val="single"/>
        </w:rPr>
        <w:t xml:space="preserve">                  </w:t>
      </w:r>
    </w:p>
    <w:p w14:paraId="248DCE96">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 xml:space="preserve">法定代表人或其授权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法定代表人或其授权</w:t>
      </w:r>
    </w:p>
    <w:p w14:paraId="16E664D2">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的代理人：</w:t>
      </w:r>
      <w:r>
        <w:rPr>
          <w:rFonts w:hint="eastAsia" w:ascii="宋体" w:hAnsi="宋体" w:eastAsia="宋体" w:cs="宋体"/>
          <w:szCs w:val="24"/>
          <w:highlight w:val="none"/>
          <w:u w:val="single"/>
        </w:rPr>
        <w:t xml:space="preserve">（签字）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的代理人：</w:t>
      </w:r>
      <w:r>
        <w:rPr>
          <w:rFonts w:hint="eastAsia" w:ascii="宋体" w:hAnsi="宋体" w:eastAsia="宋体" w:cs="宋体"/>
          <w:szCs w:val="24"/>
          <w:highlight w:val="none"/>
          <w:u w:val="single"/>
        </w:rPr>
        <w:t xml:space="preserve">（签字）           </w:t>
      </w:r>
    </w:p>
    <w:p w14:paraId="7B091A1B">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开户银行：</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开户银行：</w:t>
      </w:r>
      <w:r>
        <w:rPr>
          <w:rFonts w:hint="eastAsia" w:ascii="宋体" w:hAnsi="宋体" w:eastAsia="宋体" w:cs="宋体"/>
          <w:szCs w:val="24"/>
          <w:highlight w:val="none"/>
          <w:u w:val="single"/>
        </w:rPr>
        <w:t xml:space="preserve">                  </w:t>
      </w:r>
    </w:p>
    <w:p w14:paraId="303FCA2F">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账号：</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账号：</w:t>
      </w:r>
      <w:r>
        <w:rPr>
          <w:rFonts w:hint="eastAsia" w:ascii="宋体" w:hAnsi="宋体" w:eastAsia="宋体" w:cs="宋体"/>
          <w:szCs w:val="24"/>
          <w:highlight w:val="none"/>
          <w:u w:val="single"/>
        </w:rPr>
        <w:t xml:space="preserve">                      </w:t>
      </w:r>
    </w:p>
    <w:p w14:paraId="34561586">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电话：</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ab/>
      </w:r>
      <w:r>
        <w:rPr>
          <w:rFonts w:hint="eastAsia" w:ascii="宋体" w:hAnsi="宋体" w:eastAsia="宋体" w:cs="宋体"/>
          <w:szCs w:val="24"/>
          <w:highlight w:val="none"/>
        </w:rPr>
        <w:t xml:space="preserve">    电话：</w:t>
      </w:r>
      <w:r>
        <w:rPr>
          <w:rFonts w:hint="eastAsia" w:ascii="宋体" w:hAnsi="宋体" w:eastAsia="宋体" w:cs="宋体"/>
          <w:szCs w:val="24"/>
          <w:highlight w:val="none"/>
          <w:u w:val="single"/>
        </w:rPr>
        <w:t xml:space="preserve">                      </w:t>
      </w:r>
    </w:p>
    <w:p w14:paraId="66652191">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传真：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传真：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w:t>
      </w:r>
    </w:p>
    <w:p w14:paraId="3EC28CC0">
      <w:pPr>
        <w:keepNext w:val="0"/>
        <w:keepLines w:val="0"/>
        <w:pageBreakBefore w:val="0"/>
        <w:widowControl w:val="0"/>
        <w:kinsoku/>
        <w:wordWrap/>
        <w:overflowPunct/>
        <w:topLinePunct w:val="0"/>
        <w:autoSpaceDE/>
        <w:autoSpaceDN/>
        <w:bidi w:val="0"/>
        <w:adjustRightInd/>
        <w:snapToGrid/>
        <w:spacing w:line="500" w:lineRule="exact"/>
        <w:ind w:firstLine="475" w:firstLineChars="198"/>
        <w:textAlignment w:val="auto"/>
        <w:rPr>
          <w:rFonts w:ascii="宋体" w:hAnsi="宋体" w:eastAsia="宋体" w:cs="宋体"/>
          <w:szCs w:val="24"/>
          <w:highlight w:val="none"/>
        </w:rPr>
      </w:pPr>
      <w:r>
        <w:rPr>
          <w:rFonts w:hint="eastAsia" w:ascii="宋体" w:hAnsi="宋体" w:eastAsia="宋体" w:cs="宋体"/>
          <w:szCs w:val="24"/>
          <w:highlight w:val="none"/>
        </w:rPr>
        <w:t>电子邮箱：</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                 电子邮箱：</w:t>
      </w:r>
      <w:r>
        <w:rPr>
          <w:rFonts w:hint="eastAsia" w:ascii="宋体" w:hAnsi="宋体" w:eastAsia="宋体" w:cs="宋体"/>
          <w:szCs w:val="24"/>
          <w:highlight w:val="none"/>
          <w:u w:val="single"/>
        </w:rPr>
        <w:t xml:space="preserve">                   </w:t>
      </w:r>
    </w:p>
    <w:p w14:paraId="11184C3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（注：以采购人及供应商最终签署合同为准。）</w:t>
      </w:r>
    </w:p>
    <w:p w14:paraId="364E4EC5">
      <w:pPr>
        <w:rPr>
          <w:rFonts w:ascii="宋体" w:hAnsi="宋体" w:eastAsia="宋体" w:cs="宋体"/>
          <w:b/>
          <w:bCs/>
          <w:color w:val="000000" w:themeColor="text1"/>
          <w:kern w:val="0"/>
          <w:sz w:val="36"/>
          <w:szCs w:val="36"/>
          <w:highlight w:val="none"/>
          <w14:textFill>
            <w14:solidFill>
              <w14:schemeClr w14:val="tx1"/>
            </w14:solidFill>
          </w14:textFill>
        </w:rPr>
      </w:pPr>
      <w:r>
        <w:rPr>
          <w:rFonts w:hint="eastAsia" w:ascii="宋体" w:hAnsi="宋体" w:eastAsia="宋体" w:cs="宋体"/>
          <w:b/>
          <w:bCs/>
          <w:color w:val="000000" w:themeColor="text1"/>
          <w:kern w:val="0"/>
          <w:sz w:val="36"/>
          <w:szCs w:val="36"/>
          <w:highlight w:val="none"/>
          <w14:textFill>
            <w14:solidFill>
              <w14:schemeClr w14:val="tx1"/>
            </w14:solidFill>
          </w14:textFill>
        </w:rPr>
        <w:br w:type="page"/>
      </w:r>
    </w:p>
    <w:p w14:paraId="02244EAB">
      <w:pPr>
        <w:spacing w:line="360" w:lineRule="auto"/>
        <w:jc w:val="center"/>
        <w:outlineLvl w:val="0"/>
        <w:rPr>
          <w:rFonts w:ascii="宋体" w:hAnsi="宋体" w:eastAsia="宋体" w:cs="宋体"/>
          <w:color w:val="000000" w:themeColor="text1"/>
          <w:kern w:val="0"/>
          <w:sz w:val="36"/>
          <w:szCs w:val="36"/>
          <w:highlight w:val="none"/>
          <w14:textFill>
            <w14:solidFill>
              <w14:schemeClr w14:val="tx1"/>
            </w14:solidFill>
          </w14:textFill>
        </w:rPr>
      </w:pPr>
      <w:bookmarkStart w:id="87" w:name="_Toc27469"/>
      <w:r>
        <w:rPr>
          <w:rFonts w:hint="eastAsia" w:ascii="宋体" w:hAnsi="宋体" w:eastAsia="宋体" w:cs="宋体"/>
          <w:b/>
          <w:bCs/>
          <w:color w:val="000000" w:themeColor="text1"/>
          <w:kern w:val="0"/>
          <w:sz w:val="36"/>
          <w:szCs w:val="36"/>
          <w:highlight w:val="none"/>
          <w14:textFill>
            <w14:solidFill>
              <w14:schemeClr w14:val="tx1"/>
            </w14:solidFill>
          </w14:textFill>
        </w:rPr>
        <w:t xml:space="preserve">第五章 </w:t>
      </w:r>
      <w:bookmarkStart w:id="88" w:name="_Toc25636"/>
      <w:bookmarkStart w:id="89" w:name="_Toc9837"/>
      <w:r>
        <w:rPr>
          <w:rFonts w:hint="eastAsia" w:ascii="宋体" w:hAnsi="宋体" w:eastAsia="宋体" w:cs="宋体"/>
          <w:b/>
          <w:bCs/>
          <w:color w:val="000000" w:themeColor="text1"/>
          <w:kern w:val="0"/>
          <w:sz w:val="36"/>
          <w:szCs w:val="36"/>
          <w:highlight w:val="none"/>
          <w14:textFill>
            <w14:solidFill>
              <w14:schemeClr w14:val="tx1"/>
            </w14:solidFill>
          </w14:textFill>
        </w:rPr>
        <w:t>响应文件格式</w:t>
      </w:r>
      <w:bookmarkEnd w:id="82"/>
      <w:bookmarkEnd w:id="83"/>
      <w:bookmarkEnd w:id="84"/>
      <w:bookmarkEnd w:id="85"/>
      <w:bookmarkEnd w:id="86"/>
      <w:bookmarkEnd w:id="87"/>
      <w:bookmarkEnd w:id="88"/>
      <w:bookmarkEnd w:id="89"/>
    </w:p>
    <w:p w14:paraId="7E34E490">
      <w:pPr>
        <w:rPr>
          <w:rFonts w:ascii="宋体" w:hAnsi="宋体" w:eastAsia="宋体" w:cs="宋体"/>
          <w:b/>
          <w:bCs/>
          <w:sz w:val="28"/>
          <w:szCs w:val="24"/>
          <w:highlight w:val="none"/>
        </w:rPr>
      </w:pPr>
      <w:r>
        <w:rPr>
          <w:rFonts w:hint="eastAsia" w:ascii="宋体" w:hAnsi="宋体" w:eastAsia="宋体" w:cs="宋体"/>
          <w:b/>
          <w:bCs/>
          <w:sz w:val="28"/>
          <w:szCs w:val="24"/>
          <w:highlight w:val="none"/>
        </w:rPr>
        <w:t>一、封面</w:t>
      </w:r>
    </w:p>
    <w:p w14:paraId="3900D89B">
      <w:pPr>
        <w:spacing w:line="360" w:lineRule="auto"/>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 xml:space="preserve">  </w:t>
      </w:r>
    </w:p>
    <w:p w14:paraId="2E7002AB">
      <w:pPr>
        <w:spacing w:line="360" w:lineRule="auto"/>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 xml:space="preserve">                                 </w:t>
      </w:r>
      <w:r>
        <w:rPr>
          <w:rFonts w:hint="eastAsia" w:ascii="宋体" w:hAnsi="宋体" w:eastAsia="宋体" w:cs="宋体"/>
          <w:b/>
          <w:color w:val="000000" w:themeColor="text1"/>
          <w:sz w:val="36"/>
          <w:szCs w:val="36"/>
          <w:highlight w:val="none"/>
          <w:bdr w:val="single" w:color="auto" w:sz="4" w:space="0"/>
          <w:shd w:val="pct10" w:color="auto" w:fill="FFFFFF"/>
          <w14:textFill>
            <w14:solidFill>
              <w14:schemeClr w14:val="tx1"/>
            </w14:solidFill>
          </w14:textFill>
        </w:rPr>
        <w:t>政府采购项目</w:t>
      </w:r>
    </w:p>
    <w:p w14:paraId="122D85E3">
      <w:pPr>
        <w:widowControl/>
        <w:spacing w:line="180" w:lineRule="atLeast"/>
        <w:rPr>
          <w:rFonts w:hint="default" w:ascii="宋体" w:hAnsi="宋体" w:eastAsia="宋体" w:cs="宋体"/>
          <w:b/>
          <w:kern w:val="0"/>
          <w:sz w:val="32"/>
          <w:szCs w:val="28"/>
          <w:highlight w:val="none"/>
          <w:lang w:val="en-US" w:eastAsia="zh-CN"/>
        </w:rPr>
      </w:pPr>
      <w:r>
        <w:rPr>
          <w:rFonts w:hint="eastAsia" w:ascii="宋体" w:hAnsi="宋体" w:eastAsia="宋体" w:cs="宋体"/>
          <w:b/>
          <w:kern w:val="0"/>
          <w:sz w:val="32"/>
          <w:szCs w:val="28"/>
          <w:highlight w:val="none"/>
        </w:rPr>
        <w:t>项目编号：</w:t>
      </w:r>
      <w:r>
        <w:rPr>
          <w:rFonts w:hint="eastAsia" w:ascii="宋体" w:hAnsi="宋体" w:eastAsia="宋体" w:cs="宋体"/>
          <w:b/>
          <w:kern w:val="0"/>
          <w:sz w:val="32"/>
          <w:szCs w:val="28"/>
          <w:highlight w:val="none"/>
          <w:lang w:eastAsia="zh-CN"/>
        </w:rPr>
        <w:t>HDZX2026（010）CG</w:t>
      </w:r>
    </w:p>
    <w:p w14:paraId="6A2C550A">
      <w:pPr>
        <w:numPr>
          <w:ilvl w:val="3"/>
          <w:numId w:val="0"/>
        </w:numPr>
        <w:rPr>
          <w:rFonts w:ascii="宋体" w:hAnsi="宋体" w:eastAsia="宋体" w:cs="宋体"/>
          <w:highlight w:val="none"/>
        </w:rPr>
      </w:pPr>
    </w:p>
    <w:p w14:paraId="25AA5D66">
      <w:pPr>
        <w:rPr>
          <w:rFonts w:ascii="宋体" w:hAnsi="宋体" w:eastAsia="宋体" w:cs="宋体"/>
          <w:highlight w:val="none"/>
        </w:rPr>
      </w:pPr>
    </w:p>
    <w:p w14:paraId="46121E8F">
      <w:pPr>
        <w:rPr>
          <w:rFonts w:ascii="宋体" w:hAnsi="宋体" w:eastAsia="宋体" w:cs="宋体"/>
          <w:sz w:val="22"/>
          <w:szCs w:val="21"/>
          <w:highlight w:val="none"/>
        </w:rPr>
      </w:pPr>
    </w:p>
    <w:p w14:paraId="0B75A0E0">
      <w:pPr>
        <w:pStyle w:val="36"/>
        <w:ind w:firstLine="640"/>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sz w:val="36"/>
          <w:szCs w:val="36"/>
          <w:highlight w:val="none"/>
          <w:lang w:eastAsia="zh-CN"/>
        </w:rPr>
        <w:t>千阳县2026年度取水口监测计量项目</w:t>
      </w:r>
    </w:p>
    <w:p w14:paraId="696800A0">
      <w:pPr>
        <w:pStyle w:val="36"/>
        <w:ind w:firstLine="640"/>
        <w:jc w:val="center"/>
        <w:rPr>
          <w:rFonts w:ascii="宋体" w:hAnsi="宋体" w:eastAsia="宋体" w:cs="宋体"/>
          <w:color w:val="000000" w:themeColor="text1"/>
          <w:highlight w:val="none"/>
          <w14:textFill>
            <w14:solidFill>
              <w14:schemeClr w14:val="tx1"/>
            </w14:solidFill>
          </w14:textFill>
        </w:rPr>
      </w:pPr>
    </w:p>
    <w:p w14:paraId="2DA3AB05">
      <w:pPr>
        <w:pStyle w:val="36"/>
        <w:ind w:firstLine="640"/>
        <w:jc w:val="center"/>
        <w:rPr>
          <w:rFonts w:ascii="宋体" w:hAnsi="宋体" w:eastAsia="宋体" w:cs="宋体"/>
          <w:color w:val="000000" w:themeColor="text1"/>
          <w:highlight w:val="none"/>
          <w14:textFill>
            <w14:solidFill>
              <w14:schemeClr w14:val="tx1"/>
            </w14:solidFill>
          </w14:textFill>
        </w:rPr>
      </w:pPr>
    </w:p>
    <w:p w14:paraId="53671D9F">
      <w:pPr>
        <w:spacing w:before="120" w:beforeLines="50" w:line="360" w:lineRule="auto"/>
        <w:ind w:right="-998" w:rightChars="-416"/>
        <w:jc w:val="center"/>
        <w:rPr>
          <w:rFonts w:ascii="宋体" w:hAnsi="宋体" w:eastAsia="宋体" w:cs="宋体"/>
          <w:b/>
          <w:bCs/>
          <w:color w:val="000000" w:themeColor="text1"/>
          <w:spacing w:val="20"/>
          <w:kern w:val="0"/>
          <w:sz w:val="48"/>
          <w:szCs w:val="48"/>
          <w:highlight w:val="none"/>
          <w14:textFill>
            <w14:solidFill>
              <w14:schemeClr w14:val="tx1"/>
            </w14:solidFill>
          </w14:textFill>
        </w:rPr>
      </w:pPr>
      <w:r>
        <w:rPr>
          <w:rFonts w:hint="eastAsia" w:ascii="宋体" w:hAnsi="宋体" w:eastAsia="宋体" w:cs="宋体"/>
          <w:b/>
          <w:bCs/>
          <w:color w:val="000000" w:themeColor="text1"/>
          <w:spacing w:val="20"/>
          <w:kern w:val="0"/>
          <w:sz w:val="48"/>
          <w:szCs w:val="48"/>
          <w:highlight w:val="none"/>
          <w14:textFill>
            <w14:solidFill>
              <w14:schemeClr w14:val="tx1"/>
            </w14:solidFill>
          </w14:textFill>
        </w:rPr>
        <w:t>竞争性磋商响应文件</w:t>
      </w:r>
    </w:p>
    <w:p w14:paraId="5FC7DD5D">
      <w:pPr>
        <w:pStyle w:val="36"/>
        <w:ind w:firstLine="640"/>
        <w:rPr>
          <w:rFonts w:ascii="宋体" w:hAnsi="宋体" w:eastAsia="宋体" w:cs="宋体"/>
          <w:color w:val="000000" w:themeColor="text1"/>
          <w:highlight w:val="none"/>
          <w14:textFill>
            <w14:solidFill>
              <w14:schemeClr w14:val="tx1"/>
            </w14:solidFill>
          </w14:textFill>
        </w:rPr>
      </w:pPr>
    </w:p>
    <w:p w14:paraId="073649C9">
      <w:pPr>
        <w:spacing w:line="480" w:lineRule="auto"/>
        <w:ind w:firstLine="1188" w:firstLineChars="400"/>
        <w:rPr>
          <w:rFonts w:ascii="宋体" w:hAnsi="宋体" w:eastAsia="宋体" w:cs="宋体"/>
          <w:b/>
          <w:color w:val="000000" w:themeColor="text1"/>
          <w:spacing w:val="8"/>
          <w:sz w:val="28"/>
          <w:szCs w:val="28"/>
          <w:highlight w:val="none"/>
          <w14:textFill>
            <w14:solidFill>
              <w14:schemeClr w14:val="tx1"/>
            </w14:solidFill>
          </w14:textFill>
        </w:rPr>
      </w:pPr>
    </w:p>
    <w:p w14:paraId="2223ED76">
      <w:pPr>
        <w:rPr>
          <w:rFonts w:ascii="宋体" w:hAnsi="宋体" w:eastAsia="宋体" w:cs="宋体"/>
          <w:highlight w:val="none"/>
        </w:rPr>
      </w:pPr>
    </w:p>
    <w:p w14:paraId="7B6BFDFA">
      <w:pPr>
        <w:pStyle w:val="13"/>
        <w:rPr>
          <w:rFonts w:ascii="宋体" w:hAnsi="宋体" w:eastAsia="宋体" w:cs="宋体"/>
          <w:highlight w:val="none"/>
        </w:rPr>
      </w:pPr>
    </w:p>
    <w:p w14:paraId="42D0CEFE">
      <w:pPr>
        <w:rPr>
          <w:rFonts w:ascii="宋体" w:hAnsi="宋体" w:eastAsia="宋体" w:cs="宋体"/>
          <w:highlight w:val="none"/>
        </w:rPr>
      </w:pPr>
    </w:p>
    <w:p w14:paraId="76E2F999">
      <w:pPr>
        <w:numPr>
          <w:ilvl w:val="3"/>
          <w:numId w:val="0"/>
        </w:numPr>
        <w:rPr>
          <w:rFonts w:ascii="宋体" w:hAnsi="宋体" w:eastAsia="宋体" w:cs="宋体"/>
          <w:highlight w:val="none"/>
        </w:rPr>
      </w:pPr>
    </w:p>
    <w:p w14:paraId="62C50B4C">
      <w:pPr>
        <w:numPr>
          <w:ilvl w:val="3"/>
          <w:numId w:val="0"/>
        </w:numPr>
        <w:rPr>
          <w:rFonts w:ascii="宋体" w:hAnsi="宋体" w:eastAsia="宋体" w:cs="宋体"/>
          <w:highlight w:val="none"/>
        </w:rPr>
      </w:pPr>
    </w:p>
    <w:p w14:paraId="7349D592">
      <w:pPr>
        <w:numPr>
          <w:ilvl w:val="3"/>
          <w:numId w:val="0"/>
        </w:numPr>
        <w:rPr>
          <w:rFonts w:ascii="宋体" w:hAnsi="宋体" w:eastAsia="宋体" w:cs="宋体"/>
          <w:highlight w:val="none"/>
        </w:rPr>
      </w:pPr>
      <w:bookmarkStart w:id="90" w:name="_Toc169846776"/>
      <w:bookmarkStart w:id="91" w:name="_Toc170980453"/>
      <w:bookmarkStart w:id="92" w:name="_Toc188808833"/>
      <w:bookmarkStart w:id="93" w:name="_Toc167591144"/>
      <w:bookmarkStart w:id="94" w:name="_Toc167591330"/>
      <w:bookmarkStart w:id="95" w:name="_Toc169838532"/>
      <w:bookmarkStart w:id="96" w:name="_Toc169846873"/>
      <w:bookmarkStart w:id="97" w:name="_Toc167591043"/>
      <w:bookmarkStart w:id="98" w:name="_Toc173549978"/>
      <w:bookmarkStart w:id="99" w:name="_Toc167849360"/>
      <w:bookmarkStart w:id="100" w:name="_Toc167590775"/>
      <w:bookmarkStart w:id="101" w:name="_Toc193126881"/>
      <w:bookmarkStart w:id="102" w:name="_Toc194663918"/>
      <w:bookmarkStart w:id="103" w:name="_Toc175032437"/>
      <w:bookmarkStart w:id="104" w:name="_Toc167591492"/>
      <w:bookmarkStart w:id="105" w:name="_Toc154482479"/>
      <w:bookmarkStart w:id="106" w:name="_Toc193187097"/>
      <w:bookmarkStart w:id="107" w:name="_Toc175033592"/>
      <w:bookmarkStart w:id="108" w:name="_Toc170980552"/>
    </w:p>
    <w:p w14:paraId="417B78F7">
      <w:pPr>
        <w:spacing w:line="480" w:lineRule="auto"/>
        <w:ind w:firstLine="2080" w:firstLineChars="700"/>
        <w:rPr>
          <w:rFonts w:ascii="宋体" w:hAnsi="宋体" w:eastAsia="宋体" w:cs="宋体"/>
          <w:b/>
          <w:color w:val="000000" w:themeColor="text1"/>
          <w:spacing w:val="8"/>
          <w:sz w:val="28"/>
          <w:szCs w:val="28"/>
          <w:highlight w:val="none"/>
          <w14:textFill>
            <w14:solidFill>
              <w14:schemeClr w14:val="tx1"/>
            </w14:solidFill>
          </w14:textFill>
        </w:rPr>
      </w:pPr>
      <w:r>
        <w:rPr>
          <w:rFonts w:hint="eastAsia" w:ascii="宋体" w:hAnsi="宋体" w:eastAsia="宋体" w:cs="宋体"/>
          <w:b/>
          <w:color w:val="000000" w:themeColor="text1"/>
          <w:spacing w:val="8"/>
          <w:sz w:val="28"/>
          <w:szCs w:val="28"/>
          <w:highlight w:val="none"/>
          <w14:textFill>
            <w14:solidFill>
              <w14:schemeClr w14:val="tx1"/>
            </w14:solidFill>
          </w14:textFill>
        </w:rPr>
        <w:t>供应商名称：</w:t>
      </w:r>
      <w:r>
        <w:rPr>
          <w:rFonts w:hint="eastAsia" w:ascii="宋体" w:hAnsi="宋体" w:eastAsia="宋体" w:cs="宋体"/>
          <w:b/>
          <w:color w:val="000000" w:themeColor="text1"/>
          <w:spacing w:val="8"/>
          <w:sz w:val="28"/>
          <w:szCs w:val="28"/>
          <w:highlight w:val="none"/>
          <w:u w:val="single"/>
          <w14:textFill>
            <w14:solidFill>
              <w14:schemeClr w14:val="tx1"/>
            </w14:solidFill>
          </w14:textFill>
        </w:rPr>
        <w:t xml:space="preserve">               </w:t>
      </w:r>
      <w:r>
        <w:rPr>
          <w:rFonts w:hint="eastAsia" w:ascii="宋体" w:hAnsi="宋体" w:eastAsia="宋体" w:cs="宋体"/>
          <w:b/>
          <w:color w:val="000000" w:themeColor="text1"/>
          <w:spacing w:val="8"/>
          <w:sz w:val="28"/>
          <w:szCs w:val="28"/>
          <w:highlight w:val="none"/>
          <w14:textFill>
            <w14:solidFill>
              <w14:schemeClr w14:val="tx1"/>
            </w14:solidFill>
          </w14:textFill>
        </w:rPr>
        <w:t>（公章）</w:t>
      </w:r>
    </w:p>
    <w:p w14:paraId="6A4F6728">
      <w:pPr>
        <w:spacing w:line="480" w:lineRule="auto"/>
        <w:ind w:firstLine="2125" w:firstLineChars="756"/>
        <w:rPr>
          <w:rFonts w:ascii="宋体" w:hAnsi="宋体" w:eastAsia="宋体" w:cs="宋体"/>
          <w:b/>
          <w:color w:val="000000" w:themeColor="text1"/>
          <w:sz w:val="28"/>
          <w:szCs w:val="28"/>
          <w:highlight w:val="none"/>
          <w:u w:val="singl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时      间：</w:t>
      </w:r>
      <w:r>
        <w:rPr>
          <w:rFonts w:hint="eastAsia" w:ascii="宋体" w:hAnsi="宋体" w:eastAsia="宋体" w:cs="宋体"/>
          <w:b/>
          <w:color w:val="000000" w:themeColor="text1"/>
          <w:sz w:val="28"/>
          <w:szCs w:val="28"/>
          <w:highlight w:val="none"/>
          <w:u w:val="single"/>
          <w14:textFill>
            <w14:solidFill>
              <w14:schemeClr w14:val="tx1"/>
            </w14:solidFill>
          </w14:textFill>
        </w:rPr>
        <w:t xml:space="preserve">                        </w:t>
      </w:r>
    </w:p>
    <w:p w14:paraId="23CF5A26">
      <w:pPr>
        <w:rPr>
          <w:rFonts w:ascii="宋体" w:hAnsi="宋体" w:eastAsia="宋体" w:cs="宋体"/>
          <w:b/>
          <w:bCs/>
          <w:sz w:val="28"/>
          <w:szCs w:val="24"/>
          <w:highlight w:val="none"/>
        </w:rPr>
      </w:pPr>
      <w:r>
        <w:rPr>
          <w:rFonts w:hint="eastAsia" w:ascii="宋体" w:hAnsi="宋体" w:eastAsia="宋体" w:cs="宋体"/>
          <w:b/>
          <w:bCs/>
          <w:sz w:val="28"/>
          <w:szCs w:val="24"/>
          <w:highlight w:val="none"/>
        </w:rPr>
        <w:br w:type="page"/>
      </w:r>
    </w:p>
    <w:p w14:paraId="6B79F189">
      <w:pPr>
        <w:spacing w:line="600" w:lineRule="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bCs/>
          <w:sz w:val="28"/>
          <w:szCs w:val="24"/>
          <w:highlight w:val="none"/>
        </w:rPr>
        <w:t>二、资格证明文件</w:t>
      </w:r>
    </w:p>
    <w:p w14:paraId="25BACA1F">
      <w:pPr>
        <w:numPr>
          <w:ilvl w:val="0"/>
          <w:numId w:val="5"/>
        </w:numPr>
        <w:spacing w:line="60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营业执照等主体资格证明文件</w:t>
      </w:r>
    </w:p>
    <w:p w14:paraId="5D796894">
      <w:pPr>
        <w:spacing w:line="480" w:lineRule="auto"/>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2</w:t>
      </w:r>
      <w:r>
        <w:rPr>
          <w:rFonts w:hint="eastAsia" w:ascii="宋体" w:hAnsi="宋体" w:eastAsia="宋体" w:cs="宋体"/>
          <w:color w:val="000000" w:themeColor="text1"/>
          <w:szCs w:val="24"/>
          <w:highlight w:val="none"/>
          <w14:textFill>
            <w14:solidFill>
              <w14:schemeClr w14:val="tx1"/>
            </w14:solidFill>
          </w14:textFill>
        </w:rPr>
        <w:t>）财务状况报告</w:t>
      </w:r>
    </w:p>
    <w:p w14:paraId="755327EB">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r>
        <w:rPr>
          <w:rFonts w:hint="eastAsia" w:ascii="宋体" w:hAnsi="宋体" w:eastAsia="宋体" w:cs="宋体"/>
          <w:color w:val="000000" w:themeColor="text1"/>
          <w:szCs w:val="24"/>
          <w:highlight w:val="none"/>
          <w14:textFill>
            <w14:solidFill>
              <w14:schemeClr w14:val="tx1"/>
            </w14:solidFill>
          </w14:textFill>
        </w:rPr>
        <w:t>）社保缴纳证明</w:t>
      </w:r>
    </w:p>
    <w:p w14:paraId="17E2FA21">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）税收缴纳证明</w:t>
      </w:r>
    </w:p>
    <w:p w14:paraId="3B9930A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）信用记录</w:t>
      </w:r>
    </w:p>
    <w:p w14:paraId="0BBFE7C1">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）控股管理关系</w:t>
      </w:r>
    </w:p>
    <w:p w14:paraId="2F68BDA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）书面声明</w:t>
      </w:r>
    </w:p>
    <w:p w14:paraId="6F829489">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8</w:t>
      </w:r>
      <w:r>
        <w:rPr>
          <w:rFonts w:hint="eastAsia" w:ascii="宋体" w:hAnsi="宋体" w:eastAsia="宋体" w:cs="宋体"/>
          <w:color w:val="000000" w:themeColor="text1"/>
          <w:szCs w:val="24"/>
          <w:highlight w:val="none"/>
          <w14:textFill>
            <w14:solidFill>
              <w14:schemeClr w14:val="tx1"/>
            </w14:solidFill>
          </w14:textFill>
        </w:rPr>
        <w:t>）法定代表人授权委托书</w:t>
      </w:r>
    </w:p>
    <w:p w14:paraId="4C1E888E">
      <w:pPr>
        <w:spacing w:line="480" w:lineRule="auto"/>
        <w:ind w:firstLine="470" w:firstLineChars="196"/>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9</w:t>
      </w:r>
      <w:r>
        <w:rPr>
          <w:rFonts w:hint="eastAsia" w:ascii="宋体" w:hAnsi="宋体" w:eastAsia="宋体" w:cs="宋体"/>
          <w:color w:val="000000" w:themeColor="text1"/>
          <w:szCs w:val="24"/>
          <w:highlight w:val="none"/>
          <w14:textFill>
            <w14:solidFill>
              <w14:schemeClr w14:val="tx1"/>
            </w14:solidFill>
          </w14:textFill>
        </w:rPr>
        <w:t>）履行合同所必须的证明资料</w:t>
      </w:r>
    </w:p>
    <w:p w14:paraId="23CE2130">
      <w:pPr>
        <w:spacing w:line="480" w:lineRule="auto"/>
        <w:ind w:firstLine="470" w:firstLineChars="196"/>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SA"/>
        </w:rPr>
        <w:t>10）专门面向中小企业声明函</w:t>
      </w:r>
    </w:p>
    <w:p w14:paraId="3DE1CF8E">
      <w:pPr>
        <w:spacing w:line="480" w:lineRule="auto"/>
        <w:ind w:firstLine="470" w:firstLineChars="196"/>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66AC2787">
      <w:pPr>
        <w:spacing w:line="360" w:lineRule="auto"/>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8</w:t>
      </w:r>
      <w:r>
        <w:rPr>
          <w:rFonts w:hint="eastAsia" w:ascii="宋体" w:hAnsi="宋体" w:eastAsia="宋体" w:cs="宋体"/>
          <w:b/>
          <w:color w:val="000000" w:themeColor="text1"/>
          <w:kern w:val="0"/>
          <w:sz w:val="28"/>
          <w:highlight w:val="none"/>
          <w14:textFill>
            <w14:solidFill>
              <w14:schemeClr w14:val="tx1"/>
            </w14:solidFill>
          </w14:textFill>
        </w:rPr>
        <w:t>、法定代表人资格证明书及法定代表人授权委托书</w:t>
      </w:r>
    </w:p>
    <w:p w14:paraId="50A7EE56">
      <w:pPr>
        <w:spacing w:line="360" w:lineRule="auto"/>
        <w:jc w:val="center"/>
        <w:rPr>
          <w:rFonts w:ascii="宋体" w:hAnsi="宋体" w:eastAsia="宋体" w:cs="宋体"/>
          <w:bCs/>
          <w:kern w:val="0"/>
          <w:sz w:val="28"/>
          <w:szCs w:val="28"/>
          <w:highlight w:val="none"/>
        </w:rPr>
      </w:pPr>
      <w:r>
        <w:rPr>
          <w:rFonts w:hint="eastAsia" w:ascii="宋体" w:hAnsi="宋体" w:eastAsia="宋体" w:cs="宋体"/>
          <w:bCs/>
          <w:kern w:val="0"/>
          <w:sz w:val="28"/>
          <w:szCs w:val="28"/>
          <w:highlight w:val="none"/>
        </w:rPr>
        <w:t>（法定代表人参与时提供</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-1、被授权人参与时提供</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-1和</w:t>
      </w:r>
      <w:r>
        <w:rPr>
          <w:rFonts w:hint="eastAsia" w:ascii="宋体" w:hAnsi="宋体" w:eastAsia="宋体" w:cs="宋体"/>
          <w:bCs/>
          <w:kern w:val="0"/>
          <w:sz w:val="28"/>
          <w:szCs w:val="28"/>
          <w:highlight w:val="none"/>
          <w:lang w:val="en-US" w:eastAsia="zh-CN"/>
        </w:rPr>
        <w:t>8</w:t>
      </w:r>
      <w:r>
        <w:rPr>
          <w:rFonts w:hint="eastAsia" w:ascii="宋体" w:hAnsi="宋体" w:eastAsia="宋体" w:cs="宋体"/>
          <w:bCs/>
          <w:kern w:val="0"/>
          <w:sz w:val="28"/>
          <w:szCs w:val="28"/>
          <w:highlight w:val="none"/>
        </w:rPr>
        <w:t>-2）</w:t>
      </w:r>
    </w:p>
    <w:p w14:paraId="417CB77C">
      <w:pPr>
        <w:spacing w:line="480" w:lineRule="exact"/>
        <w:ind w:left="240" w:leftChars="100"/>
        <w:jc w:val="center"/>
        <w:rPr>
          <w:rFonts w:ascii="宋体" w:hAnsi="宋体" w:eastAsia="宋体" w:cs="宋体"/>
          <w:bCs/>
          <w:highlight w:val="none"/>
        </w:rPr>
      </w:pPr>
      <w:bookmarkStart w:id="109" w:name="_Toc47261886"/>
      <w:bookmarkStart w:id="110" w:name="_Toc47418939"/>
      <w:bookmarkStart w:id="111" w:name="_Toc48791236"/>
      <w:bookmarkStart w:id="112" w:name="_Toc47262070"/>
      <w:bookmarkStart w:id="113" w:name="_Toc47418732"/>
      <w:bookmarkStart w:id="114" w:name="_Toc49019237"/>
      <w:bookmarkStart w:id="115" w:name="_Toc47261691"/>
      <w:bookmarkStart w:id="116" w:name="_Toc49019498"/>
      <w:bookmarkStart w:id="117" w:name="_Toc48995852"/>
      <w:bookmarkStart w:id="118" w:name="_Toc47418256"/>
      <w:r>
        <w:rPr>
          <w:rFonts w:hint="eastAsia" w:ascii="宋体" w:hAnsi="宋体" w:eastAsia="宋体" w:cs="宋体"/>
          <w:bCs/>
          <w:highlight w:val="none"/>
          <w:lang w:val="en-US" w:eastAsia="zh-CN"/>
        </w:rPr>
        <w:t>8</w:t>
      </w:r>
      <w:r>
        <w:rPr>
          <w:rFonts w:hint="eastAsia" w:ascii="宋体" w:hAnsi="宋体" w:eastAsia="宋体" w:cs="宋体"/>
          <w:bCs/>
          <w:highlight w:val="none"/>
        </w:rPr>
        <w:t>-1、法定代表人资格证明书</w:t>
      </w:r>
    </w:p>
    <w:tbl>
      <w:tblPr>
        <w:tblStyle w:val="37"/>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2454"/>
        <w:gridCol w:w="1952"/>
        <w:gridCol w:w="1327"/>
        <w:gridCol w:w="1377"/>
      </w:tblGrid>
      <w:tr w14:paraId="75DB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720" w:type="dxa"/>
            <w:gridSpan w:val="5"/>
            <w:vAlign w:val="center"/>
          </w:tcPr>
          <w:p w14:paraId="77C76FD5">
            <w:pPr>
              <w:tabs>
                <w:tab w:val="right" w:leader="dot" w:pos="9022"/>
              </w:tabs>
              <w:autoSpaceDE w:val="0"/>
              <w:autoSpaceDN w:val="0"/>
              <w:adjustRightInd w:val="0"/>
              <w:spacing w:line="480" w:lineRule="exact"/>
              <w:rPr>
                <w:rFonts w:hint="eastAsia" w:ascii="宋体" w:hAnsi="宋体" w:eastAsia="宋体" w:cs="宋体"/>
                <w:bCs/>
                <w:caps/>
                <w:highlight w:val="none"/>
                <w:lang w:eastAsia="zh-CN"/>
              </w:rPr>
            </w:pPr>
            <w:r>
              <w:rPr>
                <w:rFonts w:hint="eastAsia" w:ascii="宋体" w:hAnsi="宋体" w:eastAsia="宋体" w:cs="宋体"/>
                <w:bCs/>
                <w:caps/>
                <w:highlight w:val="none"/>
              </w:rPr>
              <w:t>致：</w:t>
            </w:r>
            <w:r>
              <w:rPr>
                <w:rFonts w:hint="eastAsia" w:ascii="宋体" w:hAnsi="宋体" w:eastAsia="宋体" w:cs="宋体"/>
                <w:bCs/>
                <w:caps/>
                <w:highlight w:val="none"/>
                <w:lang w:eastAsia="zh-CN"/>
              </w:rPr>
              <w:t>华地众信工程项目管理有限公司</w:t>
            </w:r>
          </w:p>
        </w:tc>
      </w:tr>
      <w:tr w14:paraId="2D1A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610" w:type="dxa"/>
            <w:vAlign w:val="center"/>
          </w:tcPr>
          <w:p w14:paraId="4903079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项目名称</w:t>
            </w:r>
          </w:p>
        </w:tc>
        <w:tc>
          <w:tcPr>
            <w:tcW w:w="7110" w:type="dxa"/>
            <w:gridSpan w:val="4"/>
            <w:vAlign w:val="center"/>
          </w:tcPr>
          <w:p w14:paraId="5FE86B17">
            <w:pPr>
              <w:tabs>
                <w:tab w:val="right" w:leader="dot" w:pos="9022"/>
              </w:tabs>
              <w:autoSpaceDE w:val="0"/>
              <w:autoSpaceDN w:val="0"/>
              <w:adjustRightInd w:val="0"/>
              <w:spacing w:line="480" w:lineRule="exact"/>
              <w:rPr>
                <w:rFonts w:ascii="宋体" w:hAnsi="宋体" w:eastAsia="宋体" w:cs="宋体"/>
                <w:bCs/>
                <w:caps/>
                <w:highlight w:val="none"/>
              </w:rPr>
            </w:pPr>
          </w:p>
        </w:tc>
      </w:tr>
      <w:tr w14:paraId="2804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610" w:type="dxa"/>
            <w:vAlign w:val="center"/>
          </w:tcPr>
          <w:p w14:paraId="233FC06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highlight w:val="none"/>
              </w:rPr>
              <w:t>项目编号</w:t>
            </w:r>
          </w:p>
        </w:tc>
        <w:tc>
          <w:tcPr>
            <w:tcW w:w="7110" w:type="dxa"/>
            <w:gridSpan w:val="4"/>
            <w:vAlign w:val="center"/>
          </w:tcPr>
          <w:p w14:paraId="7AF97864">
            <w:pPr>
              <w:tabs>
                <w:tab w:val="right" w:leader="dot" w:pos="9022"/>
              </w:tabs>
              <w:autoSpaceDE w:val="0"/>
              <w:autoSpaceDN w:val="0"/>
              <w:adjustRightInd w:val="0"/>
              <w:spacing w:line="480" w:lineRule="exact"/>
              <w:rPr>
                <w:rFonts w:ascii="宋体" w:hAnsi="宋体" w:eastAsia="宋体" w:cs="宋体"/>
                <w:bCs/>
                <w:caps/>
                <w:highlight w:val="none"/>
              </w:rPr>
            </w:pPr>
          </w:p>
        </w:tc>
      </w:tr>
      <w:tr w14:paraId="700F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610" w:type="dxa"/>
            <w:vAlign w:val="center"/>
          </w:tcPr>
          <w:p w14:paraId="71B382A7">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权   限</w:t>
            </w:r>
          </w:p>
        </w:tc>
        <w:tc>
          <w:tcPr>
            <w:tcW w:w="7110" w:type="dxa"/>
            <w:gridSpan w:val="4"/>
            <w:vAlign w:val="center"/>
          </w:tcPr>
          <w:p w14:paraId="0FF21C0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办理本次采购项目的投标、联系、洽谈、签约、执行等具体事务，签署全部有关文件、文书、协议及合同。</w:t>
            </w:r>
          </w:p>
        </w:tc>
      </w:tr>
      <w:tr w14:paraId="49C0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Align w:val="center"/>
          </w:tcPr>
          <w:p w14:paraId="1CEED05E">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有效期</w:t>
            </w:r>
          </w:p>
        </w:tc>
        <w:tc>
          <w:tcPr>
            <w:tcW w:w="7110" w:type="dxa"/>
            <w:gridSpan w:val="4"/>
            <w:vAlign w:val="center"/>
          </w:tcPr>
          <w:p w14:paraId="0DC68E4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自投标截止之日起90日历天</w:t>
            </w:r>
          </w:p>
        </w:tc>
      </w:tr>
      <w:tr w14:paraId="6D05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restart"/>
            <w:vAlign w:val="center"/>
          </w:tcPr>
          <w:p w14:paraId="7CCEC7CD">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企业</w:t>
            </w:r>
          </w:p>
          <w:p w14:paraId="39645BD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信息</w:t>
            </w:r>
          </w:p>
        </w:tc>
        <w:tc>
          <w:tcPr>
            <w:tcW w:w="2454" w:type="dxa"/>
            <w:vAlign w:val="center"/>
          </w:tcPr>
          <w:p w14:paraId="33CF29C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 xml:space="preserve">企 业 名 称 </w:t>
            </w:r>
          </w:p>
        </w:tc>
        <w:tc>
          <w:tcPr>
            <w:tcW w:w="4656" w:type="dxa"/>
            <w:gridSpan w:val="3"/>
            <w:vAlign w:val="center"/>
          </w:tcPr>
          <w:p w14:paraId="3417E030">
            <w:pPr>
              <w:tabs>
                <w:tab w:val="right" w:leader="dot" w:pos="9022"/>
              </w:tabs>
              <w:autoSpaceDE w:val="0"/>
              <w:autoSpaceDN w:val="0"/>
              <w:adjustRightInd w:val="0"/>
              <w:spacing w:line="480" w:lineRule="exact"/>
              <w:rPr>
                <w:rFonts w:ascii="宋体" w:hAnsi="宋体" w:eastAsia="宋体" w:cs="宋体"/>
                <w:bCs/>
                <w:caps/>
                <w:highlight w:val="none"/>
              </w:rPr>
            </w:pPr>
          </w:p>
        </w:tc>
      </w:tr>
      <w:tr w14:paraId="38F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1DBB67A">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6CB8F8C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 定 地 址</w:t>
            </w:r>
          </w:p>
        </w:tc>
        <w:tc>
          <w:tcPr>
            <w:tcW w:w="4656" w:type="dxa"/>
            <w:gridSpan w:val="3"/>
            <w:vAlign w:val="center"/>
          </w:tcPr>
          <w:p w14:paraId="59F324DD">
            <w:pPr>
              <w:tabs>
                <w:tab w:val="right" w:leader="dot" w:pos="9022"/>
              </w:tabs>
              <w:autoSpaceDE w:val="0"/>
              <w:autoSpaceDN w:val="0"/>
              <w:adjustRightInd w:val="0"/>
              <w:spacing w:line="480" w:lineRule="exact"/>
              <w:rPr>
                <w:rFonts w:ascii="宋体" w:hAnsi="宋体" w:eastAsia="宋体" w:cs="宋体"/>
                <w:bCs/>
                <w:caps/>
                <w:highlight w:val="none"/>
              </w:rPr>
            </w:pPr>
          </w:p>
        </w:tc>
      </w:tr>
      <w:tr w14:paraId="232B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21B1A2D">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7424EB8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营业执照注册证号</w:t>
            </w:r>
          </w:p>
        </w:tc>
        <w:tc>
          <w:tcPr>
            <w:tcW w:w="4656" w:type="dxa"/>
            <w:gridSpan w:val="3"/>
            <w:vAlign w:val="center"/>
          </w:tcPr>
          <w:p w14:paraId="4D64CD44">
            <w:pPr>
              <w:tabs>
                <w:tab w:val="right" w:leader="dot" w:pos="9022"/>
              </w:tabs>
              <w:autoSpaceDE w:val="0"/>
              <w:autoSpaceDN w:val="0"/>
              <w:adjustRightInd w:val="0"/>
              <w:spacing w:line="480" w:lineRule="exact"/>
              <w:rPr>
                <w:rFonts w:ascii="宋体" w:hAnsi="宋体" w:eastAsia="宋体" w:cs="宋体"/>
                <w:bCs/>
                <w:caps/>
                <w:highlight w:val="none"/>
              </w:rPr>
            </w:pPr>
          </w:p>
        </w:tc>
      </w:tr>
      <w:tr w14:paraId="11C3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085374AB">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2D5F35B5">
            <w:pPr>
              <w:tabs>
                <w:tab w:val="right" w:leader="dot" w:pos="9022"/>
              </w:tabs>
              <w:spacing w:line="480" w:lineRule="exact"/>
              <w:rPr>
                <w:rFonts w:ascii="宋体" w:hAnsi="宋体" w:eastAsia="宋体" w:cs="宋体"/>
                <w:bCs/>
                <w:caps/>
                <w:highlight w:val="none"/>
              </w:rPr>
            </w:pPr>
            <w:r>
              <w:rPr>
                <w:rFonts w:hint="eastAsia" w:ascii="宋体" w:hAnsi="宋体" w:eastAsia="宋体" w:cs="宋体"/>
                <w:bCs/>
                <w:caps/>
                <w:highlight w:val="none"/>
              </w:rPr>
              <w:t>工商登记机关</w:t>
            </w:r>
          </w:p>
        </w:tc>
        <w:tc>
          <w:tcPr>
            <w:tcW w:w="4656" w:type="dxa"/>
            <w:gridSpan w:val="3"/>
            <w:vAlign w:val="center"/>
          </w:tcPr>
          <w:p w14:paraId="68159791">
            <w:pPr>
              <w:tabs>
                <w:tab w:val="right" w:leader="dot" w:pos="9022"/>
              </w:tabs>
              <w:autoSpaceDE w:val="0"/>
              <w:autoSpaceDN w:val="0"/>
              <w:adjustRightInd w:val="0"/>
              <w:spacing w:line="480" w:lineRule="exact"/>
              <w:rPr>
                <w:rFonts w:ascii="宋体" w:hAnsi="宋体" w:eastAsia="宋体" w:cs="宋体"/>
                <w:bCs/>
                <w:caps/>
                <w:highlight w:val="none"/>
              </w:rPr>
            </w:pPr>
          </w:p>
        </w:tc>
      </w:tr>
      <w:tr w14:paraId="4841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5EEAD7B5">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131C8EE4">
            <w:pPr>
              <w:tabs>
                <w:tab w:val="right" w:leader="dot" w:pos="9022"/>
              </w:tabs>
              <w:spacing w:line="480" w:lineRule="exact"/>
              <w:rPr>
                <w:rFonts w:ascii="宋体" w:hAnsi="宋体" w:eastAsia="宋体" w:cs="宋体"/>
                <w:bCs/>
                <w:caps/>
                <w:highlight w:val="none"/>
              </w:rPr>
            </w:pPr>
            <w:r>
              <w:rPr>
                <w:rFonts w:hint="eastAsia" w:ascii="宋体" w:hAnsi="宋体" w:eastAsia="宋体" w:cs="宋体"/>
                <w:bCs/>
                <w:caps/>
                <w:highlight w:val="none"/>
              </w:rPr>
              <w:t>网        址</w:t>
            </w:r>
          </w:p>
        </w:tc>
        <w:tc>
          <w:tcPr>
            <w:tcW w:w="4656" w:type="dxa"/>
            <w:gridSpan w:val="3"/>
            <w:vAlign w:val="center"/>
          </w:tcPr>
          <w:p w14:paraId="5CDD3344">
            <w:pPr>
              <w:tabs>
                <w:tab w:val="right" w:leader="dot" w:pos="9022"/>
              </w:tabs>
              <w:autoSpaceDE w:val="0"/>
              <w:autoSpaceDN w:val="0"/>
              <w:adjustRightInd w:val="0"/>
              <w:spacing w:line="480" w:lineRule="exact"/>
              <w:rPr>
                <w:rFonts w:ascii="宋体" w:hAnsi="宋体" w:eastAsia="宋体" w:cs="宋体"/>
                <w:bCs/>
                <w:caps/>
                <w:highlight w:val="none"/>
              </w:rPr>
            </w:pPr>
          </w:p>
        </w:tc>
      </w:tr>
      <w:tr w14:paraId="67C8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restart"/>
            <w:vAlign w:val="center"/>
          </w:tcPr>
          <w:p w14:paraId="7D4549C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法定代</w:t>
            </w:r>
          </w:p>
          <w:p w14:paraId="1CD0D84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表人</w:t>
            </w:r>
          </w:p>
        </w:tc>
        <w:tc>
          <w:tcPr>
            <w:tcW w:w="2454" w:type="dxa"/>
            <w:vAlign w:val="center"/>
          </w:tcPr>
          <w:p w14:paraId="31AD653B">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姓    名</w:t>
            </w:r>
          </w:p>
        </w:tc>
        <w:tc>
          <w:tcPr>
            <w:tcW w:w="1952" w:type="dxa"/>
            <w:vAlign w:val="center"/>
          </w:tcPr>
          <w:p w14:paraId="478E3275">
            <w:pPr>
              <w:tabs>
                <w:tab w:val="right" w:leader="dot" w:pos="9022"/>
              </w:tabs>
              <w:autoSpaceDE w:val="0"/>
              <w:autoSpaceDN w:val="0"/>
              <w:adjustRightInd w:val="0"/>
              <w:spacing w:line="480" w:lineRule="exact"/>
              <w:rPr>
                <w:rFonts w:ascii="宋体" w:hAnsi="宋体" w:eastAsia="宋体" w:cs="宋体"/>
                <w:bCs/>
                <w:caps/>
                <w:highlight w:val="none"/>
              </w:rPr>
            </w:pPr>
          </w:p>
        </w:tc>
        <w:tc>
          <w:tcPr>
            <w:tcW w:w="1327" w:type="dxa"/>
            <w:vAlign w:val="center"/>
          </w:tcPr>
          <w:p w14:paraId="5DC2356D">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377" w:type="dxa"/>
            <w:vAlign w:val="center"/>
          </w:tcPr>
          <w:p w14:paraId="4AB4938D">
            <w:pPr>
              <w:tabs>
                <w:tab w:val="right" w:leader="dot" w:pos="9022"/>
              </w:tabs>
              <w:autoSpaceDE w:val="0"/>
              <w:autoSpaceDN w:val="0"/>
              <w:adjustRightInd w:val="0"/>
              <w:spacing w:line="480" w:lineRule="exact"/>
              <w:rPr>
                <w:rFonts w:ascii="宋体" w:hAnsi="宋体" w:eastAsia="宋体" w:cs="宋体"/>
                <w:bCs/>
                <w:caps/>
                <w:highlight w:val="none"/>
              </w:rPr>
            </w:pPr>
          </w:p>
        </w:tc>
      </w:tr>
      <w:tr w14:paraId="4D8A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69E8339F">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6ADA445B">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职    务</w:t>
            </w:r>
          </w:p>
        </w:tc>
        <w:tc>
          <w:tcPr>
            <w:tcW w:w="1952" w:type="dxa"/>
            <w:vAlign w:val="center"/>
          </w:tcPr>
          <w:p w14:paraId="238FB45B">
            <w:pPr>
              <w:tabs>
                <w:tab w:val="right" w:leader="dot" w:pos="9022"/>
              </w:tabs>
              <w:autoSpaceDE w:val="0"/>
              <w:autoSpaceDN w:val="0"/>
              <w:adjustRightInd w:val="0"/>
              <w:spacing w:line="480" w:lineRule="exact"/>
              <w:rPr>
                <w:rFonts w:ascii="宋体" w:hAnsi="宋体" w:eastAsia="宋体" w:cs="宋体"/>
                <w:bCs/>
                <w:caps/>
                <w:highlight w:val="none"/>
              </w:rPr>
            </w:pPr>
          </w:p>
        </w:tc>
        <w:tc>
          <w:tcPr>
            <w:tcW w:w="1327" w:type="dxa"/>
            <w:vAlign w:val="center"/>
          </w:tcPr>
          <w:p w14:paraId="32005ED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377" w:type="dxa"/>
            <w:vAlign w:val="center"/>
          </w:tcPr>
          <w:p w14:paraId="35A4AC48">
            <w:pPr>
              <w:tabs>
                <w:tab w:val="right" w:leader="dot" w:pos="9022"/>
              </w:tabs>
              <w:autoSpaceDE w:val="0"/>
              <w:autoSpaceDN w:val="0"/>
              <w:adjustRightInd w:val="0"/>
              <w:spacing w:line="480" w:lineRule="exact"/>
              <w:rPr>
                <w:rFonts w:ascii="宋体" w:hAnsi="宋体" w:eastAsia="宋体" w:cs="宋体"/>
                <w:bCs/>
                <w:caps/>
                <w:highlight w:val="none"/>
              </w:rPr>
            </w:pPr>
          </w:p>
        </w:tc>
      </w:tr>
      <w:tr w14:paraId="396F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7F3DCC13">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5149826E">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传    真</w:t>
            </w:r>
          </w:p>
        </w:tc>
        <w:tc>
          <w:tcPr>
            <w:tcW w:w="4656" w:type="dxa"/>
            <w:gridSpan w:val="3"/>
            <w:vAlign w:val="center"/>
          </w:tcPr>
          <w:p w14:paraId="57CA1315">
            <w:pPr>
              <w:tabs>
                <w:tab w:val="right" w:leader="dot" w:pos="9022"/>
              </w:tabs>
              <w:autoSpaceDE w:val="0"/>
              <w:autoSpaceDN w:val="0"/>
              <w:adjustRightInd w:val="0"/>
              <w:spacing w:line="480" w:lineRule="exact"/>
              <w:rPr>
                <w:rFonts w:ascii="宋体" w:hAnsi="宋体" w:eastAsia="宋体" w:cs="宋体"/>
                <w:bCs/>
                <w:caps/>
                <w:highlight w:val="none"/>
              </w:rPr>
            </w:pPr>
          </w:p>
        </w:tc>
      </w:tr>
      <w:tr w14:paraId="0855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10" w:type="dxa"/>
            <w:vMerge w:val="continue"/>
            <w:vAlign w:val="center"/>
          </w:tcPr>
          <w:p w14:paraId="3FD690D9">
            <w:pPr>
              <w:tabs>
                <w:tab w:val="right" w:leader="dot" w:pos="9022"/>
              </w:tabs>
              <w:autoSpaceDE w:val="0"/>
              <w:autoSpaceDN w:val="0"/>
              <w:adjustRightInd w:val="0"/>
              <w:spacing w:line="480" w:lineRule="exact"/>
              <w:rPr>
                <w:rFonts w:ascii="宋体" w:hAnsi="宋体" w:eastAsia="宋体" w:cs="宋体"/>
                <w:bCs/>
                <w:caps/>
                <w:highlight w:val="none"/>
              </w:rPr>
            </w:pPr>
          </w:p>
        </w:tc>
        <w:tc>
          <w:tcPr>
            <w:tcW w:w="2454" w:type="dxa"/>
            <w:vAlign w:val="center"/>
          </w:tcPr>
          <w:p w14:paraId="08387582">
            <w:pPr>
              <w:tabs>
                <w:tab w:val="right" w:leader="dot" w:pos="9022"/>
              </w:tabs>
              <w:autoSpaceDE w:val="0"/>
              <w:autoSpaceDN w:val="0"/>
              <w:adjustRightInd w:val="0"/>
              <w:spacing w:line="480" w:lineRule="exact"/>
              <w:ind w:firstLine="240" w:firstLineChars="100"/>
              <w:rPr>
                <w:rFonts w:ascii="宋体" w:hAnsi="宋体" w:eastAsia="宋体" w:cs="宋体"/>
                <w:bCs/>
                <w:caps/>
                <w:highlight w:val="none"/>
              </w:rPr>
            </w:pPr>
            <w:r>
              <w:rPr>
                <w:rFonts w:hint="eastAsia" w:ascii="宋体" w:hAnsi="宋体" w:eastAsia="宋体" w:cs="宋体"/>
                <w:bCs/>
                <w:caps/>
                <w:highlight w:val="none"/>
              </w:rPr>
              <w:t>通讯地址</w:t>
            </w:r>
          </w:p>
        </w:tc>
        <w:tc>
          <w:tcPr>
            <w:tcW w:w="4656" w:type="dxa"/>
            <w:gridSpan w:val="3"/>
            <w:vAlign w:val="center"/>
          </w:tcPr>
          <w:p w14:paraId="0A338CFD">
            <w:pPr>
              <w:tabs>
                <w:tab w:val="right" w:leader="dot" w:pos="9022"/>
              </w:tabs>
              <w:autoSpaceDE w:val="0"/>
              <w:autoSpaceDN w:val="0"/>
              <w:adjustRightInd w:val="0"/>
              <w:spacing w:line="480" w:lineRule="exact"/>
              <w:rPr>
                <w:rFonts w:ascii="宋体" w:hAnsi="宋体" w:eastAsia="宋体" w:cs="宋体"/>
                <w:bCs/>
                <w:caps/>
                <w:highlight w:val="none"/>
              </w:rPr>
            </w:pPr>
          </w:p>
        </w:tc>
      </w:tr>
      <w:tr w14:paraId="0A97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7" w:hRule="atLeast"/>
          <w:jc w:val="center"/>
        </w:trPr>
        <w:tc>
          <w:tcPr>
            <w:tcW w:w="8720" w:type="dxa"/>
            <w:gridSpan w:val="5"/>
            <w:vAlign w:val="center"/>
          </w:tcPr>
          <w:p w14:paraId="0B4C32BA">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法定代表人身份证正、反面</w:t>
            </w:r>
          </w:p>
        </w:tc>
      </w:tr>
    </w:tbl>
    <w:p w14:paraId="37FFFB12">
      <w:pPr>
        <w:spacing w:line="480" w:lineRule="exact"/>
        <w:ind w:firstLine="120" w:firstLineChars="50"/>
        <w:rPr>
          <w:rFonts w:ascii="宋体" w:hAnsi="宋体" w:eastAsia="宋体" w:cs="宋体"/>
          <w:highlight w:val="none"/>
        </w:rPr>
      </w:pPr>
    </w:p>
    <w:p w14:paraId="658C8A73">
      <w:pPr>
        <w:tabs>
          <w:tab w:val="left" w:pos="1260"/>
        </w:tabs>
        <w:spacing w:line="480" w:lineRule="exact"/>
        <w:ind w:firstLine="240" w:firstLineChars="100"/>
        <w:jc w:val="left"/>
        <w:rPr>
          <w:rFonts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rPr>
        <w:t>（盖章）</w:t>
      </w:r>
    </w:p>
    <w:p w14:paraId="73544628">
      <w:pPr>
        <w:tabs>
          <w:tab w:val="left" w:pos="1260"/>
        </w:tabs>
        <w:spacing w:line="480" w:lineRule="exact"/>
        <w:ind w:firstLine="240" w:firstLineChars="100"/>
        <w:jc w:val="left"/>
        <w:rPr>
          <w:rFonts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62BD52EF">
      <w:pPr>
        <w:spacing w:line="480" w:lineRule="exact"/>
        <w:ind w:left="240" w:leftChars="100"/>
        <w:jc w:val="center"/>
        <w:rPr>
          <w:rFonts w:ascii="宋体" w:hAnsi="宋体" w:eastAsia="宋体" w:cs="宋体"/>
          <w:sz w:val="28"/>
          <w:szCs w:val="28"/>
          <w:highlight w:val="none"/>
        </w:rPr>
      </w:pPr>
      <w:r>
        <w:rPr>
          <w:rFonts w:hint="eastAsia" w:ascii="宋体" w:hAnsi="宋体" w:eastAsia="宋体" w:cs="宋体"/>
          <w:sz w:val="28"/>
          <w:szCs w:val="28"/>
          <w:highlight w:val="none"/>
        </w:rPr>
        <w:br w:type="page"/>
      </w:r>
    </w:p>
    <w:p w14:paraId="28A44D23">
      <w:pPr>
        <w:spacing w:line="480" w:lineRule="exact"/>
        <w:ind w:left="240" w:leftChars="100"/>
        <w:jc w:val="center"/>
        <w:rPr>
          <w:rFonts w:ascii="宋体" w:hAnsi="宋体" w:eastAsia="宋体" w:cs="宋体"/>
          <w:highlight w:val="none"/>
        </w:rPr>
      </w:pPr>
      <w:r>
        <w:rPr>
          <w:rFonts w:hint="eastAsia" w:ascii="宋体" w:hAnsi="宋体" w:eastAsia="宋体" w:cs="宋体"/>
          <w:highlight w:val="none"/>
          <w:lang w:val="en-US" w:eastAsia="zh-CN"/>
        </w:rPr>
        <w:t>8</w:t>
      </w:r>
      <w:r>
        <w:rPr>
          <w:rFonts w:hint="eastAsia" w:ascii="宋体" w:hAnsi="宋体" w:eastAsia="宋体" w:cs="宋体"/>
          <w:highlight w:val="none"/>
        </w:rPr>
        <w:t>-2、法定代表人授权委托书</w:t>
      </w:r>
    </w:p>
    <w:tbl>
      <w:tblPr>
        <w:tblStyle w:val="37"/>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1371"/>
        <w:gridCol w:w="1148"/>
        <w:gridCol w:w="718"/>
        <w:gridCol w:w="860"/>
        <w:gridCol w:w="1578"/>
        <w:gridCol w:w="1923"/>
      </w:tblGrid>
      <w:tr w14:paraId="0F8F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320" w:type="dxa"/>
            <w:gridSpan w:val="7"/>
            <w:vAlign w:val="center"/>
          </w:tcPr>
          <w:p w14:paraId="40F9743C">
            <w:pPr>
              <w:tabs>
                <w:tab w:val="right" w:leader="dot" w:pos="9022"/>
              </w:tabs>
              <w:autoSpaceDE w:val="0"/>
              <w:autoSpaceDN w:val="0"/>
              <w:adjustRightInd w:val="0"/>
              <w:spacing w:line="480" w:lineRule="exact"/>
              <w:rPr>
                <w:rFonts w:hint="eastAsia" w:ascii="宋体" w:hAnsi="宋体" w:eastAsia="宋体" w:cs="宋体"/>
                <w:bCs/>
                <w:caps/>
                <w:highlight w:val="none"/>
                <w:lang w:eastAsia="zh-CN"/>
              </w:rPr>
            </w:pPr>
            <w:r>
              <w:rPr>
                <w:rFonts w:hint="eastAsia" w:ascii="宋体" w:hAnsi="宋体" w:eastAsia="宋体" w:cs="宋体"/>
                <w:bCs/>
                <w:caps/>
                <w:highlight w:val="none"/>
              </w:rPr>
              <w:t>致：</w:t>
            </w:r>
            <w:r>
              <w:rPr>
                <w:rFonts w:hint="eastAsia" w:ascii="宋体" w:hAnsi="宋体" w:eastAsia="宋体" w:cs="宋体"/>
                <w:bCs/>
                <w:caps/>
                <w:highlight w:val="none"/>
                <w:lang w:eastAsia="zh-CN"/>
              </w:rPr>
              <w:t>华地众信工程项目管理有限公司</w:t>
            </w:r>
          </w:p>
        </w:tc>
      </w:tr>
      <w:tr w14:paraId="4270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722" w:type="dxa"/>
            <w:vMerge w:val="restart"/>
            <w:vAlign w:val="center"/>
          </w:tcPr>
          <w:p w14:paraId="31CFD2C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被授权项目</w:t>
            </w:r>
          </w:p>
          <w:p w14:paraId="09DC5A77">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与内容</w:t>
            </w:r>
          </w:p>
        </w:tc>
        <w:tc>
          <w:tcPr>
            <w:tcW w:w="1371" w:type="dxa"/>
            <w:vAlign w:val="center"/>
          </w:tcPr>
          <w:p w14:paraId="55EF82E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项目名称</w:t>
            </w:r>
          </w:p>
        </w:tc>
        <w:tc>
          <w:tcPr>
            <w:tcW w:w="6227" w:type="dxa"/>
            <w:gridSpan w:val="5"/>
            <w:vAlign w:val="center"/>
          </w:tcPr>
          <w:p w14:paraId="1140D5AC">
            <w:pPr>
              <w:tabs>
                <w:tab w:val="right" w:leader="dot" w:pos="9022"/>
              </w:tabs>
              <w:autoSpaceDE w:val="0"/>
              <w:autoSpaceDN w:val="0"/>
              <w:adjustRightInd w:val="0"/>
              <w:spacing w:line="480" w:lineRule="exact"/>
              <w:rPr>
                <w:rFonts w:ascii="宋体" w:hAnsi="宋体" w:eastAsia="宋体" w:cs="宋体"/>
                <w:bCs/>
                <w:caps/>
                <w:highlight w:val="none"/>
              </w:rPr>
            </w:pPr>
          </w:p>
        </w:tc>
      </w:tr>
      <w:tr w14:paraId="7937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722" w:type="dxa"/>
            <w:vMerge w:val="continue"/>
            <w:vAlign w:val="center"/>
          </w:tcPr>
          <w:p w14:paraId="5C44202E">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46859E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highlight w:val="none"/>
              </w:rPr>
              <w:t>项目编号</w:t>
            </w:r>
          </w:p>
        </w:tc>
        <w:tc>
          <w:tcPr>
            <w:tcW w:w="6227" w:type="dxa"/>
            <w:gridSpan w:val="5"/>
            <w:vAlign w:val="center"/>
          </w:tcPr>
          <w:p w14:paraId="26219511">
            <w:pPr>
              <w:tabs>
                <w:tab w:val="right" w:leader="dot" w:pos="9022"/>
              </w:tabs>
              <w:autoSpaceDE w:val="0"/>
              <w:autoSpaceDN w:val="0"/>
              <w:adjustRightInd w:val="0"/>
              <w:spacing w:line="480" w:lineRule="exact"/>
              <w:rPr>
                <w:rFonts w:ascii="宋体" w:hAnsi="宋体" w:eastAsia="宋体" w:cs="宋体"/>
                <w:bCs/>
                <w:caps/>
                <w:highlight w:val="none"/>
              </w:rPr>
            </w:pPr>
          </w:p>
        </w:tc>
      </w:tr>
      <w:tr w14:paraId="6FE3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722" w:type="dxa"/>
            <w:vMerge w:val="continue"/>
            <w:vAlign w:val="center"/>
          </w:tcPr>
          <w:p w14:paraId="67D04DB0">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F69AF3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授权范围</w:t>
            </w:r>
          </w:p>
        </w:tc>
        <w:tc>
          <w:tcPr>
            <w:tcW w:w="6227" w:type="dxa"/>
            <w:gridSpan w:val="5"/>
            <w:vAlign w:val="center"/>
          </w:tcPr>
          <w:p w14:paraId="7E7A6748">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全权办理本次采购项目的磋商、联系、洽谈、签约、执行等具体事务，签署全部有关文件、文书、协议及合同。</w:t>
            </w:r>
          </w:p>
        </w:tc>
      </w:tr>
      <w:tr w14:paraId="52B5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722" w:type="dxa"/>
            <w:vMerge w:val="continue"/>
            <w:vAlign w:val="center"/>
          </w:tcPr>
          <w:p w14:paraId="7C8A058F">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44E095C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法律责任</w:t>
            </w:r>
          </w:p>
        </w:tc>
        <w:tc>
          <w:tcPr>
            <w:tcW w:w="6227" w:type="dxa"/>
            <w:gridSpan w:val="5"/>
            <w:vAlign w:val="center"/>
          </w:tcPr>
          <w:p w14:paraId="04C71144">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本公司对被授权人在本项目中的签名承担全部法律责任。</w:t>
            </w:r>
          </w:p>
        </w:tc>
      </w:tr>
      <w:tr w14:paraId="3C91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22" w:type="dxa"/>
            <w:vMerge w:val="continue"/>
            <w:vAlign w:val="center"/>
          </w:tcPr>
          <w:p w14:paraId="1948B74C">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34C74DAB">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授权期限</w:t>
            </w:r>
          </w:p>
        </w:tc>
        <w:tc>
          <w:tcPr>
            <w:tcW w:w="6227" w:type="dxa"/>
            <w:gridSpan w:val="5"/>
            <w:vAlign w:val="center"/>
          </w:tcPr>
          <w:p w14:paraId="5824FCCB">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highlight w:val="none"/>
              </w:rPr>
              <w:t>自投标截止之日起90日历天</w:t>
            </w:r>
          </w:p>
        </w:tc>
      </w:tr>
      <w:tr w14:paraId="0673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722" w:type="dxa"/>
            <w:vMerge w:val="restart"/>
            <w:vAlign w:val="center"/>
          </w:tcPr>
          <w:p w14:paraId="62510862">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企业信息</w:t>
            </w:r>
          </w:p>
        </w:tc>
        <w:tc>
          <w:tcPr>
            <w:tcW w:w="2519" w:type="dxa"/>
            <w:gridSpan w:val="2"/>
            <w:vAlign w:val="center"/>
          </w:tcPr>
          <w:p w14:paraId="4963611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 xml:space="preserve">企 业 名 称 </w:t>
            </w:r>
          </w:p>
        </w:tc>
        <w:tc>
          <w:tcPr>
            <w:tcW w:w="5079" w:type="dxa"/>
            <w:gridSpan w:val="4"/>
            <w:vAlign w:val="center"/>
          </w:tcPr>
          <w:p w14:paraId="547A1A1D">
            <w:pPr>
              <w:tabs>
                <w:tab w:val="right" w:leader="dot" w:pos="9022"/>
              </w:tabs>
              <w:autoSpaceDE w:val="0"/>
              <w:autoSpaceDN w:val="0"/>
              <w:adjustRightInd w:val="0"/>
              <w:spacing w:line="480" w:lineRule="exact"/>
              <w:rPr>
                <w:rFonts w:ascii="宋体" w:hAnsi="宋体" w:eastAsia="宋体" w:cs="宋体"/>
                <w:bCs/>
                <w:caps/>
                <w:highlight w:val="none"/>
              </w:rPr>
            </w:pPr>
          </w:p>
        </w:tc>
      </w:tr>
      <w:tr w14:paraId="350D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continue"/>
            <w:vAlign w:val="center"/>
          </w:tcPr>
          <w:p w14:paraId="1361B337">
            <w:pPr>
              <w:tabs>
                <w:tab w:val="right" w:leader="dot" w:pos="9022"/>
              </w:tabs>
              <w:autoSpaceDE w:val="0"/>
              <w:autoSpaceDN w:val="0"/>
              <w:adjustRightInd w:val="0"/>
              <w:spacing w:line="480" w:lineRule="exact"/>
              <w:rPr>
                <w:rFonts w:ascii="宋体" w:hAnsi="宋体" w:eastAsia="宋体" w:cs="宋体"/>
                <w:bCs/>
                <w:caps/>
                <w:highlight w:val="none"/>
              </w:rPr>
            </w:pPr>
          </w:p>
        </w:tc>
        <w:tc>
          <w:tcPr>
            <w:tcW w:w="2519" w:type="dxa"/>
            <w:gridSpan w:val="2"/>
            <w:vAlign w:val="center"/>
          </w:tcPr>
          <w:p w14:paraId="38A6BA89">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 定 地 址</w:t>
            </w:r>
          </w:p>
        </w:tc>
        <w:tc>
          <w:tcPr>
            <w:tcW w:w="5079" w:type="dxa"/>
            <w:gridSpan w:val="4"/>
            <w:vAlign w:val="center"/>
          </w:tcPr>
          <w:p w14:paraId="35C46305">
            <w:pPr>
              <w:tabs>
                <w:tab w:val="right" w:leader="dot" w:pos="9022"/>
              </w:tabs>
              <w:autoSpaceDE w:val="0"/>
              <w:autoSpaceDN w:val="0"/>
              <w:adjustRightInd w:val="0"/>
              <w:spacing w:line="480" w:lineRule="exact"/>
              <w:rPr>
                <w:rFonts w:ascii="宋体" w:hAnsi="宋体" w:eastAsia="宋体" w:cs="宋体"/>
                <w:bCs/>
                <w:caps/>
                <w:highlight w:val="none"/>
              </w:rPr>
            </w:pPr>
          </w:p>
        </w:tc>
      </w:tr>
      <w:tr w14:paraId="7FAB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continue"/>
            <w:vAlign w:val="center"/>
          </w:tcPr>
          <w:p w14:paraId="6161C94E">
            <w:pPr>
              <w:tabs>
                <w:tab w:val="right" w:leader="dot" w:pos="9022"/>
              </w:tabs>
              <w:autoSpaceDE w:val="0"/>
              <w:autoSpaceDN w:val="0"/>
              <w:adjustRightInd w:val="0"/>
              <w:spacing w:line="480" w:lineRule="exact"/>
              <w:rPr>
                <w:rFonts w:ascii="宋体" w:hAnsi="宋体" w:eastAsia="宋体" w:cs="宋体"/>
                <w:bCs/>
                <w:caps/>
                <w:highlight w:val="none"/>
              </w:rPr>
            </w:pPr>
          </w:p>
        </w:tc>
        <w:tc>
          <w:tcPr>
            <w:tcW w:w="2519" w:type="dxa"/>
            <w:gridSpan w:val="2"/>
            <w:vAlign w:val="center"/>
          </w:tcPr>
          <w:p w14:paraId="489DA53A">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营业执照注册证号</w:t>
            </w:r>
          </w:p>
        </w:tc>
        <w:tc>
          <w:tcPr>
            <w:tcW w:w="5079" w:type="dxa"/>
            <w:gridSpan w:val="4"/>
            <w:vAlign w:val="center"/>
          </w:tcPr>
          <w:p w14:paraId="096145FF">
            <w:pPr>
              <w:tabs>
                <w:tab w:val="right" w:leader="dot" w:pos="9022"/>
              </w:tabs>
              <w:autoSpaceDE w:val="0"/>
              <w:autoSpaceDN w:val="0"/>
              <w:adjustRightInd w:val="0"/>
              <w:spacing w:line="480" w:lineRule="exact"/>
              <w:rPr>
                <w:rFonts w:ascii="宋体" w:hAnsi="宋体" w:eastAsia="宋体" w:cs="宋体"/>
                <w:bCs/>
                <w:caps/>
                <w:highlight w:val="none"/>
              </w:rPr>
            </w:pPr>
          </w:p>
        </w:tc>
      </w:tr>
      <w:tr w14:paraId="32F7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22" w:type="dxa"/>
            <w:vMerge w:val="restart"/>
            <w:vAlign w:val="center"/>
          </w:tcPr>
          <w:p w14:paraId="0320491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法定代表人</w:t>
            </w:r>
          </w:p>
        </w:tc>
        <w:tc>
          <w:tcPr>
            <w:tcW w:w="1371" w:type="dxa"/>
            <w:vAlign w:val="center"/>
          </w:tcPr>
          <w:p w14:paraId="15008D95">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姓名</w:t>
            </w:r>
          </w:p>
        </w:tc>
        <w:tc>
          <w:tcPr>
            <w:tcW w:w="2726" w:type="dxa"/>
            <w:gridSpan w:val="3"/>
            <w:vAlign w:val="center"/>
          </w:tcPr>
          <w:p w14:paraId="1B4AC0DE">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69C25492">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923" w:type="dxa"/>
            <w:vAlign w:val="center"/>
          </w:tcPr>
          <w:p w14:paraId="0AFED8A7">
            <w:pPr>
              <w:tabs>
                <w:tab w:val="right" w:leader="dot" w:pos="9022"/>
              </w:tabs>
              <w:autoSpaceDE w:val="0"/>
              <w:autoSpaceDN w:val="0"/>
              <w:adjustRightInd w:val="0"/>
              <w:spacing w:line="480" w:lineRule="exact"/>
              <w:rPr>
                <w:rFonts w:ascii="宋体" w:hAnsi="宋体" w:eastAsia="宋体" w:cs="宋体"/>
                <w:bCs/>
                <w:caps/>
                <w:highlight w:val="none"/>
              </w:rPr>
            </w:pPr>
          </w:p>
        </w:tc>
      </w:tr>
      <w:tr w14:paraId="73C9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22" w:type="dxa"/>
            <w:vMerge w:val="continue"/>
            <w:vAlign w:val="center"/>
          </w:tcPr>
          <w:p w14:paraId="1D1B025C">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2D4258D1">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职务</w:t>
            </w:r>
          </w:p>
        </w:tc>
        <w:tc>
          <w:tcPr>
            <w:tcW w:w="2726" w:type="dxa"/>
            <w:gridSpan w:val="3"/>
            <w:vAlign w:val="center"/>
          </w:tcPr>
          <w:p w14:paraId="1BF3EA16">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48B63C83">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923" w:type="dxa"/>
            <w:vAlign w:val="center"/>
          </w:tcPr>
          <w:p w14:paraId="3DEE904E">
            <w:pPr>
              <w:tabs>
                <w:tab w:val="right" w:leader="dot" w:pos="9022"/>
              </w:tabs>
              <w:autoSpaceDE w:val="0"/>
              <w:autoSpaceDN w:val="0"/>
              <w:adjustRightInd w:val="0"/>
              <w:spacing w:line="480" w:lineRule="exact"/>
              <w:rPr>
                <w:rFonts w:ascii="宋体" w:hAnsi="宋体" w:eastAsia="宋体" w:cs="宋体"/>
                <w:bCs/>
                <w:caps/>
                <w:highlight w:val="none"/>
              </w:rPr>
            </w:pPr>
          </w:p>
        </w:tc>
      </w:tr>
      <w:tr w14:paraId="223F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22" w:type="dxa"/>
            <w:vMerge w:val="restart"/>
            <w:vAlign w:val="center"/>
          </w:tcPr>
          <w:p w14:paraId="022B48F0">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被授权人</w:t>
            </w:r>
          </w:p>
        </w:tc>
        <w:tc>
          <w:tcPr>
            <w:tcW w:w="1371" w:type="dxa"/>
            <w:vAlign w:val="center"/>
          </w:tcPr>
          <w:p w14:paraId="6D486D2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姓名</w:t>
            </w:r>
          </w:p>
        </w:tc>
        <w:tc>
          <w:tcPr>
            <w:tcW w:w="2726" w:type="dxa"/>
            <w:gridSpan w:val="3"/>
            <w:vAlign w:val="center"/>
          </w:tcPr>
          <w:p w14:paraId="48C31CE5">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6C004776">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性    别</w:t>
            </w:r>
          </w:p>
        </w:tc>
        <w:tc>
          <w:tcPr>
            <w:tcW w:w="1923" w:type="dxa"/>
            <w:vAlign w:val="center"/>
          </w:tcPr>
          <w:p w14:paraId="3FBECEBC">
            <w:pPr>
              <w:tabs>
                <w:tab w:val="right" w:leader="dot" w:pos="9022"/>
              </w:tabs>
              <w:autoSpaceDE w:val="0"/>
              <w:autoSpaceDN w:val="0"/>
              <w:adjustRightInd w:val="0"/>
              <w:spacing w:line="480" w:lineRule="exact"/>
              <w:rPr>
                <w:rFonts w:ascii="宋体" w:hAnsi="宋体" w:eastAsia="宋体" w:cs="宋体"/>
                <w:bCs/>
                <w:caps/>
                <w:highlight w:val="none"/>
              </w:rPr>
            </w:pPr>
          </w:p>
        </w:tc>
      </w:tr>
      <w:tr w14:paraId="46DF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722" w:type="dxa"/>
            <w:vMerge w:val="continue"/>
            <w:vAlign w:val="center"/>
          </w:tcPr>
          <w:p w14:paraId="77DCC61B">
            <w:pPr>
              <w:tabs>
                <w:tab w:val="right" w:leader="dot" w:pos="9022"/>
              </w:tabs>
              <w:autoSpaceDE w:val="0"/>
              <w:autoSpaceDN w:val="0"/>
              <w:adjustRightInd w:val="0"/>
              <w:spacing w:line="480" w:lineRule="exact"/>
              <w:rPr>
                <w:rFonts w:ascii="宋体" w:hAnsi="宋体" w:eastAsia="宋体" w:cs="宋体"/>
                <w:bCs/>
                <w:caps/>
                <w:highlight w:val="none"/>
              </w:rPr>
            </w:pPr>
          </w:p>
        </w:tc>
        <w:tc>
          <w:tcPr>
            <w:tcW w:w="1371" w:type="dxa"/>
            <w:vAlign w:val="center"/>
          </w:tcPr>
          <w:p w14:paraId="0E2F12FF">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职务</w:t>
            </w:r>
          </w:p>
        </w:tc>
        <w:tc>
          <w:tcPr>
            <w:tcW w:w="2726" w:type="dxa"/>
            <w:gridSpan w:val="3"/>
            <w:vAlign w:val="center"/>
          </w:tcPr>
          <w:p w14:paraId="122B78B7">
            <w:pPr>
              <w:tabs>
                <w:tab w:val="right" w:leader="dot" w:pos="9022"/>
              </w:tabs>
              <w:autoSpaceDE w:val="0"/>
              <w:autoSpaceDN w:val="0"/>
              <w:adjustRightInd w:val="0"/>
              <w:spacing w:line="480" w:lineRule="exact"/>
              <w:rPr>
                <w:rFonts w:ascii="宋体" w:hAnsi="宋体" w:eastAsia="宋体" w:cs="宋体"/>
                <w:bCs/>
                <w:caps/>
                <w:highlight w:val="none"/>
              </w:rPr>
            </w:pPr>
          </w:p>
        </w:tc>
        <w:tc>
          <w:tcPr>
            <w:tcW w:w="1578" w:type="dxa"/>
            <w:vAlign w:val="center"/>
          </w:tcPr>
          <w:p w14:paraId="72275764">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联系电话</w:t>
            </w:r>
          </w:p>
        </w:tc>
        <w:tc>
          <w:tcPr>
            <w:tcW w:w="1923" w:type="dxa"/>
            <w:vAlign w:val="center"/>
          </w:tcPr>
          <w:p w14:paraId="114287A1">
            <w:pPr>
              <w:tabs>
                <w:tab w:val="right" w:leader="dot" w:pos="9022"/>
              </w:tabs>
              <w:autoSpaceDE w:val="0"/>
              <w:autoSpaceDN w:val="0"/>
              <w:adjustRightInd w:val="0"/>
              <w:spacing w:line="480" w:lineRule="exact"/>
              <w:rPr>
                <w:rFonts w:ascii="宋体" w:hAnsi="宋体" w:eastAsia="宋体" w:cs="宋体"/>
                <w:bCs/>
                <w:caps/>
                <w:highlight w:val="none"/>
              </w:rPr>
            </w:pPr>
          </w:p>
        </w:tc>
      </w:tr>
      <w:tr w14:paraId="2D82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722" w:type="dxa"/>
            <w:vAlign w:val="center"/>
          </w:tcPr>
          <w:p w14:paraId="7968084E">
            <w:pPr>
              <w:tabs>
                <w:tab w:val="right" w:leader="dot" w:pos="9022"/>
              </w:tabs>
              <w:autoSpaceDE w:val="0"/>
              <w:autoSpaceDN w:val="0"/>
              <w:adjustRightInd w:val="0"/>
              <w:spacing w:line="480" w:lineRule="exact"/>
              <w:rPr>
                <w:rFonts w:ascii="宋体" w:hAnsi="宋体" w:eastAsia="宋体" w:cs="宋体"/>
                <w:bCs/>
                <w:caps/>
                <w:highlight w:val="none"/>
              </w:rPr>
            </w:pPr>
            <w:r>
              <w:rPr>
                <w:rFonts w:hint="eastAsia" w:ascii="宋体" w:hAnsi="宋体" w:eastAsia="宋体" w:cs="宋体"/>
                <w:bCs/>
                <w:caps/>
                <w:highlight w:val="none"/>
              </w:rPr>
              <w:t>通讯地址</w:t>
            </w:r>
          </w:p>
        </w:tc>
        <w:tc>
          <w:tcPr>
            <w:tcW w:w="7598" w:type="dxa"/>
            <w:gridSpan w:val="6"/>
            <w:vAlign w:val="center"/>
          </w:tcPr>
          <w:p w14:paraId="04E2971D">
            <w:pPr>
              <w:tabs>
                <w:tab w:val="right" w:leader="dot" w:pos="9022"/>
              </w:tabs>
              <w:autoSpaceDE w:val="0"/>
              <w:autoSpaceDN w:val="0"/>
              <w:adjustRightInd w:val="0"/>
              <w:spacing w:line="480" w:lineRule="exact"/>
              <w:rPr>
                <w:rFonts w:ascii="宋体" w:hAnsi="宋体" w:eastAsia="宋体" w:cs="宋体"/>
                <w:bCs/>
                <w:caps/>
                <w:highlight w:val="none"/>
              </w:rPr>
            </w:pPr>
          </w:p>
        </w:tc>
      </w:tr>
      <w:tr w14:paraId="4C4C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2" w:hRule="atLeast"/>
          <w:jc w:val="center"/>
        </w:trPr>
        <w:tc>
          <w:tcPr>
            <w:tcW w:w="4959" w:type="dxa"/>
            <w:gridSpan w:val="4"/>
            <w:vAlign w:val="center"/>
          </w:tcPr>
          <w:p w14:paraId="28EF6064">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法定代表人身份证复印件正、反面</w:t>
            </w:r>
          </w:p>
        </w:tc>
        <w:tc>
          <w:tcPr>
            <w:tcW w:w="4361" w:type="dxa"/>
            <w:gridSpan w:val="3"/>
            <w:vAlign w:val="center"/>
          </w:tcPr>
          <w:p w14:paraId="32580D78">
            <w:pPr>
              <w:tabs>
                <w:tab w:val="right" w:leader="dot" w:pos="9022"/>
              </w:tabs>
              <w:autoSpaceDE w:val="0"/>
              <w:autoSpaceDN w:val="0"/>
              <w:adjustRightInd w:val="0"/>
              <w:spacing w:line="480" w:lineRule="exact"/>
              <w:jc w:val="center"/>
              <w:rPr>
                <w:rFonts w:ascii="宋体" w:hAnsi="宋体" w:eastAsia="宋体" w:cs="宋体"/>
                <w:bCs/>
                <w:caps/>
                <w:highlight w:val="none"/>
              </w:rPr>
            </w:pPr>
            <w:r>
              <w:rPr>
                <w:rFonts w:hint="eastAsia" w:ascii="宋体" w:hAnsi="宋体" w:eastAsia="宋体" w:cs="宋体"/>
                <w:bCs/>
                <w:caps/>
                <w:highlight w:val="none"/>
              </w:rPr>
              <w:t>被授权人身份证复印件正、反面</w:t>
            </w:r>
          </w:p>
        </w:tc>
      </w:tr>
      <w:bookmarkEnd w:id="109"/>
      <w:bookmarkEnd w:id="110"/>
      <w:bookmarkEnd w:id="111"/>
      <w:bookmarkEnd w:id="112"/>
      <w:bookmarkEnd w:id="113"/>
      <w:bookmarkEnd w:id="114"/>
      <w:bookmarkEnd w:id="115"/>
      <w:bookmarkEnd w:id="116"/>
      <w:bookmarkEnd w:id="117"/>
      <w:bookmarkEnd w:id="118"/>
    </w:tbl>
    <w:p w14:paraId="37264D10">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rPr>
        <w:t>（盖章）</w:t>
      </w:r>
    </w:p>
    <w:p w14:paraId="63A10DFD">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法定代表人或授权代表：</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6F200238">
      <w:pPr>
        <w:tabs>
          <w:tab w:val="left" w:pos="1260"/>
        </w:tabs>
        <w:spacing w:line="480" w:lineRule="exact"/>
        <w:jc w:val="left"/>
        <w:rPr>
          <w:rFonts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r>
        <w:rPr>
          <w:rFonts w:hint="eastAsia" w:ascii="宋体" w:hAnsi="宋体" w:eastAsia="宋体" w:cs="宋体"/>
          <w:highlight w:val="none"/>
        </w:rPr>
        <w:br w:type="page"/>
      </w:r>
    </w:p>
    <w:p w14:paraId="0F4C0207">
      <w:pPr>
        <w:rPr>
          <w:rFonts w:ascii="宋体" w:hAnsi="宋体" w:eastAsia="宋体" w:cs="宋体"/>
          <w:b/>
          <w:bCs/>
          <w:sz w:val="28"/>
          <w:szCs w:val="24"/>
          <w:highlight w:val="none"/>
        </w:rPr>
      </w:pPr>
      <w:r>
        <w:rPr>
          <w:rFonts w:hint="eastAsia" w:ascii="宋体" w:hAnsi="宋体" w:eastAsia="宋体" w:cs="宋体"/>
          <w:b/>
          <w:bCs/>
          <w:sz w:val="28"/>
          <w:szCs w:val="24"/>
          <w:highlight w:val="none"/>
        </w:rPr>
        <w:t>三、符合性证明文件</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31990D6B">
      <w:pPr>
        <w:pStyle w:val="57"/>
        <w:spacing w:line="480" w:lineRule="auto"/>
        <w:ind w:firstLine="0" w:firstLineChars="0"/>
        <w:jc w:val="center"/>
        <w:rPr>
          <w:rFonts w:ascii="宋体" w:hAnsi="宋体" w:eastAsia="宋体" w:cs="宋体"/>
          <w:color w:val="000000" w:themeColor="text1"/>
          <w:szCs w:val="21"/>
          <w:highlight w:val="none"/>
          <w14:textFill>
            <w14:solidFill>
              <w14:schemeClr w14:val="tx1"/>
            </w14:solidFill>
          </w14:textFill>
        </w:rPr>
      </w:pPr>
      <w:bookmarkStart w:id="119" w:name="_Toc194663919"/>
      <w:bookmarkStart w:id="120" w:name="_Toc193187098"/>
      <w:bookmarkStart w:id="121" w:name="_Toc188808834"/>
      <w:bookmarkStart w:id="122" w:name="_Toc193126882"/>
      <w:r>
        <w:rPr>
          <w:rFonts w:hint="eastAsia" w:ascii="宋体" w:hAnsi="宋体" w:eastAsia="宋体" w:cs="宋体"/>
          <w:b/>
          <w:color w:val="000000" w:themeColor="text1"/>
          <w:highlight w:val="none"/>
          <w14:textFill>
            <w14:solidFill>
              <w14:schemeClr w14:val="tx1"/>
            </w14:solidFill>
          </w14:textFill>
        </w:rPr>
        <w:t>1.响应函</w:t>
      </w:r>
    </w:p>
    <w:p w14:paraId="0FCE78E8">
      <w:pPr>
        <w:spacing w:line="360" w:lineRule="auto"/>
        <w:ind w:firstLine="472" w:firstLineChars="196"/>
        <w:jc w:val="left"/>
        <w:rPr>
          <w:rFonts w:hint="eastAsia" w:ascii="宋体" w:hAnsi="宋体" w:eastAsia="宋体" w:cs="宋体"/>
          <w:b/>
          <w:color w:val="000000" w:themeColor="text1"/>
          <w:szCs w:val="24"/>
          <w:highlight w:val="none"/>
          <w:lang w:eastAsia="zh-CN"/>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致：</w:t>
      </w:r>
      <w:r>
        <w:rPr>
          <w:rFonts w:hint="eastAsia" w:ascii="宋体" w:hAnsi="宋体" w:eastAsia="宋体" w:cs="宋体"/>
          <w:b/>
          <w:color w:val="000000" w:themeColor="text1"/>
          <w:szCs w:val="24"/>
          <w:highlight w:val="none"/>
          <w:lang w:eastAsia="zh-CN"/>
          <w14:textFill>
            <w14:solidFill>
              <w14:schemeClr w14:val="tx1"/>
            </w14:solidFill>
          </w14:textFill>
        </w:rPr>
        <w:t>华地众信工程项目管理有限公司</w:t>
      </w:r>
    </w:p>
    <w:p w14:paraId="78D41051">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根据贵单位</w:t>
      </w:r>
      <w:r>
        <w:rPr>
          <w:rFonts w:hint="eastAsia" w:ascii="宋体" w:hAnsi="宋体" w:eastAsia="宋体" w:cs="宋体"/>
          <w:color w:val="000000" w:themeColor="text1"/>
          <w:szCs w:val="24"/>
          <w:highlight w:val="none"/>
          <w:u w:val="single"/>
          <w14:textFill>
            <w14:solidFill>
              <w14:schemeClr w14:val="tx1"/>
            </w14:solidFill>
          </w14:textFill>
        </w:rPr>
        <w:t>（项目名称）（项目编号）</w:t>
      </w:r>
      <w:r>
        <w:rPr>
          <w:rFonts w:hint="eastAsia" w:ascii="宋体" w:hAnsi="宋体" w:eastAsia="宋体" w:cs="宋体"/>
          <w:color w:val="000000" w:themeColor="text1"/>
          <w:szCs w:val="24"/>
          <w:highlight w:val="none"/>
          <w14:textFill>
            <w14:solidFill>
              <w14:schemeClr w14:val="tx1"/>
            </w14:solidFill>
          </w14:textFill>
        </w:rPr>
        <w:t>的磋商公告，我方代表</w:t>
      </w:r>
      <w:r>
        <w:rPr>
          <w:rFonts w:hint="eastAsia" w:ascii="宋体" w:hAnsi="宋体" w:eastAsia="宋体" w:cs="宋体"/>
          <w:color w:val="000000" w:themeColor="text1"/>
          <w:szCs w:val="24"/>
          <w:highlight w:val="none"/>
          <w:u w:val="single"/>
          <w14:textFill>
            <w14:solidFill>
              <w14:schemeClr w14:val="tx1"/>
            </w14:solidFill>
          </w14:textFill>
        </w:rPr>
        <w:t>（姓名、职务）</w:t>
      </w:r>
      <w:r>
        <w:rPr>
          <w:rFonts w:hint="eastAsia" w:ascii="宋体" w:hAnsi="宋体" w:eastAsia="宋体" w:cs="宋体"/>
          <w:color w:val="000000" w:themeColor="text1"/>
          <w:szCs w:val="24"/>
          <w:highlight w:val="none"/>
          <w14:textFill>
            <w14:solidFill>
              <w14:schemeClr w14:val="tx1"/>
            </w14:solidFill>
          </w14:textFill>
        </w:rPr>
        <w:t>经正式授权并代表</w:t>
      </w:r>
      <w:r>
        <w:rPr>
          <w:rFonts w:hint="eastAsia" w:ascii="宋体" w:hAnsi="宋体" w:eastAsia="宋体" w:cs="宋体"/>
          <w:color w:val="000000" w:themeColor="text1"/>
          <w:szCs w:val="24"/>
          <w:highlight w:val="none"/>
          <w:u w:val="single"/>
          <w14:textFill>
            <w14:solidFill>
              <w14:schemeClr w14:val="tx1"/>
            </w14:solidFill>
          </w14:textFill>
        </w:rPr>
        <w:t>（供应商名称）</w:t>
      </w:r>
      <w:r>
        <w:rPr>
          <w:rFonts w:hint="eastAsia" w:ascii="宋体" w:hAnsi="宋体" w:eastAsia="宋体" w:cs="宋体"/>
          <w:color w:val="000000" w:themeColor="text1"/>
          <w:szCs w:val="24"/>
          <w:highlight w:val="none"/>
          <w14:textFill>
            <w14:solidFill>
              <w14:schemeClr w14:val="tx1"/>
            </w14:solidFill>
          </w14:textFill>
        </w:rPr>
        <w:t>就该项目进行投标。</w:t>
      </w:r>
    </w:p>
    <w:p w14:paraId="22F2EC2C">
      <w:pPr>
        <w:spacing w:line="360" w:lineRule="auto"/>
        <w:ind w:firstLine="472"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在此，我方郑重声明以下诸点，并负法律责任：</w:t>
      </w:r>
    </w:p>
    <w:p w14:paraId="6C405E35">
      <w:pPr>
        <w:spacing w:line="360" w:lineRule="auto"/>
        <w:ind w:firstLine="480" w:firstLineChars="200"/>
        <w:jc w:val="lef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4"/>
          <w:highlight w:val="none"/>
          <w:lang w:val="zh-CN"/>
          <w14:textFill>
            <w14:solidFill>
              <w14:schemeClr w14:val="tx1"/>
            </w14:solidFill>
          </w14:textFill>
        </w:rPr>
        <w:t>按</w:t>
      </w:r>
      <w:r>
        <w:rPr>
          <w:rFonts w:hint="eastAsia" w:ascii="宋体" w:hAnsi="宋体" w:eastAsia="宋体" w:cs="宋体"/>
          <w:color w:val="000000" w:themeColor="text1"/>
          <w:szCs w:val="24"/>
          <w:highlight w:val="none"/>
          <w14:textFill>
            <w14:solidFill>
              <w14:schemeClr w14:val="tx1"/>
            </w14:solidFill>
          </w14:textFill>
        </w:rPr>
        <w:t>采购</w:t>
      </w:r>
      <w:r>
        <w:rPr>
          <w:rFonts w:hint="eastAsia" w:ascii="宋体" w:hAnsi="宋体" w:eastAsia="宋体" w:cs="宋体"/>
          <w:color w:val="000000" w:themeColor="text1"/>
          <w:szCs w:val="24"/>
          <w:highlight w:val="none"/>
          <w:lang w:val="zh-CN"/>
          <w14:textFill>
            <w14:solidFill>
              <w14:schemeClr w14:val="tx1"/>
            </w14:solidFill>
          </w14:textFill>
        </w:rPr>
        <w:t>文件的规定，我公司的</w:t>
      </w:r>
      <w:r>
        <w:rPr>
          <w:rFonts w:hint="eastAsia" w:ascii="宋体" w:hAnsi="宋体" w:eastAsia="宋体" w:cs="宋体"/>
          <w:color w:val="000000" w:themeColor="text1"/>
          <w:szCs w:val="24"/>
          <w:highlight w:val="none"/>
          <w14:textFill>
            <w14:solidFill>
              <w14:schemeClr w14:val="tx1"/>
            </w14:solidFill>
          </w14:textFill>
        </w:rPr>
        <w:t>磋商</w:t>
      </w:r>
      <w:r>
        <w:rPr>
          <w:rFonts w:hint="eastAsia" w:ascii="宋体" w:hAnsi="宋体" w:eastAsia="宋体" w:cs="宋体"/>
          <w:color w:val="000000" w:themeColor="text1"/>
          <w:szCs w:val="24"/>
          <w:highlight w:val="none"/>
          <w:lang w:val="zh-CN"/>
          <w14:textFill>
            <w14:solidFill>
              <w14:schemeClr w14:val="tx1"/>
            </w14:solidFill>
          </w14:textFill>
        </w:rPr>
        <w:t>总报价为：人民币（大写）：</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元）</w:t>
      </w:r>
    </w:p>
    <w:p w14:paraId="5CA2F53F">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2、我方已详细审查全部竞争性磋商文件，完全理解并同意放弃对这方面有不明及误解质疑的权力。</w:t>
      </w:r>
    </w:p>
    <w:p w14:paraId="7713A23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3、我方完全理解并同意竞争性磋商文件中有关没收磋商保证金的条款。</w:t>
      </w:r>
    </w:p>
    <w:p w14:paraId="4B476D3F">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4、我方同意按照要求提供投标有关的一切数据或资料。</w:t>
      </w:r>
    </w:p>
    <w:p w14:paraId="69938588">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5、我方将按竞争性磋商文件的规定履行合同责任和义务。</w:t>
      </w:r>
    </w:p>
    <w:p w14:paraId="0022EA23">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6、我方完全理解最低报价不是中标的唯一条件，采购人有权选择质优价廉的服务。</w:t>
      </w:r>
    </w:p>
    <w:p w14:paraId="458035F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7、我方同意按竞争性磋商文件规定，遵守贵方有关招标的各项规定。</w:t>
      </w:r>
    </w:p>
    <w:p w14:paraId="5BEBB428">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8、若我方中标，我方保证按有关规定向贵方支付</w:t>
      </w:r>
      <w:r>
        <w:rPr>
          <w:rFonts w:hint="eastAsia" w:ascii="宋体" w:hAnsi="宋体" w:eastAsia="宋体" w:cs="宋体"/>
          <w:highlight w:val="none"/>
        </w:rPr>
        <w:t>招标代理服务费</w:t>
      </w:r>
      <w:r>
        <w:rPr>
          <w:rFonts w:hint="eastAsia" w:ascii="宋体" w:hAnsi="宋体" w:eastAsia="宋体" w:cs="宋体"/>
          <w:color w:val="000000" w:themeColor="text1"/>
          <w:szCs w:val="24"/>
          <w:highlight w:val="none"/>
          <w14:textFill>
            <w14:solidFill>
              <w14:schemeClr w14:val="tx1"/>
            </w14:solidFill>
          </w14:textFill>
        </w:rPr>
        <w:t>。</w:t>
      </w:r>
    </w:p>
    <w:p w14:paraId="1E5409D2">
      <w:pPr>
        <w:spacing w:line="360" w:lineRule="auto"/>
        <w:ind w:firstLine="470" w:firstLineChars="196"/>
        <w:jc w:val="left"/>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9、投标有效期为自提交响应文件的截止之日起</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日历天。</w:t>
      </w:r>
    </w:p>
    <w:p w14:paraId="434BFA36">
      <w:pPr>
        <w:spacing w:line="360" w:lineRule="auto"/>
        <w:ind w:firstLine="470" w:firstLineChars="196"/>
        <w:jc w:val="lef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10、所有关于本项目的函电，请按下列地址联系：</w:t>
      </w:r>
    </w:p>
    <w:p w14:paraId="30A0036B">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供应商名称（公章）：</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7412A442">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详 细 地 址：</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07063F4E">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邮 政 编 码：</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23BED9CC">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电       话：</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43BE474D">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传       真：</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p>
    <w:p w14:paraId="34A2BF28">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 子 邮 件：</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6439B0F0">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开 户 银 行：</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p>
    <w:p w14:paraId="5D538AC5">
      <w:pPr>
        <w:spacing w:line="360" w:lineRule="auto"/>
        <w:ind w:firstLine="480" w:firstLineChars="200"/>
        <w:rPr>
          <w:rFonts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帐       号：</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b/>
          <w:color w:val="000000" w:themeColor="text1"/>
          <w:highlight w:val="none"/>
          <w14:textFill>
            <w14:solidFill>
              <w14:schemeClr w14:val="tx1"/>
            </w14:solidFill>
          </w14:textFill>
        </w:rPr>
        <w:br w:type="page"/>
      </w:r>
    </w:p>
    <w:p w14:paraId="37DACE15">
      <w:pPr>
        <w:pStyle w:val="57"/>
        <w:spacing w:line="480" w:lineRule="auto"/>
        <w:ind w:firstLine="0" w:firstLineChars="0"/>
        <w:jc w:val="center"/>
        <w:rPr>
          <w:rFonts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2.第一次磋商报价表</w:t>
      </w:r>
    </w:p>
    <w:bookmarkEnd w:id="119"/>
    <w:bookmarkEnd w:id="120"/>
    <w:bookmarkEnd w:id="121"/>
    <w:bookmarkEnd w:id="122"/>
    <w:p w14:paraId="7BBB4075">
      <w:pPr>
        <w:spacing w:line="480" w:lineRule="exact"/>
        <w:rPr>
          <w:rFonts w:ascii="宋体" w:hAnsi="宋体" w:eastAsia="宋体" w:cs="宋体"/>
          <w:bCs/>
          <w:kern w:val="0"/>
          <w:highlight w:val="none"/>
        </w:rPr>
      </w:pPr>
      <w:bookmarkStart w:id="123" w:name="_Toc128557265"/>
      <w:bookmarkStart w:id="124" w:name="_Toc22781"/>
      <w:bookmarkStart w:id="125" w:name="_Toc233435985"/>
      <w:bookmarkStart w:id="126" w:name="_Toc194663926"/>
      <w:bookmarkStart w:id="127" w:name="_Toc188808840"/>
      <w:bookmarkStart w:id="128" w:name="_Toc193187105"/>
      <w:bookmarkStart w:id="129" w:name="_Toc193126889"/>
      <w:r>
        <w:rPr>
          <w:rFonts w:hint="eastAsia" w:ascii="宋体" w:hAnsi="宋体" w:eastAsia="宋体" w:cs="宋体"/>
          <w:bCs/>
          <w:kern w:val="0"/>
          <w:highlight w:val="none"/>
        </w:rPr>
        <w:t>项目名称：</w:t>
      </w:r>
      <w:r>
        <w:rPr>
          <w:rFonts w:hint="eastAsia" w:ascii="宋体" w:hAnsi="宋体" w:eastAsia="宋体" w:cs="宋体"/>
          <w:bCs/>
          <w:kern w:val="0"/>
          <w:highlight w:val="none"/>
          <w:u w:val="single"/>
        </w:rPr>
        <w:t xml:space="preserve">                                          </w:t>
      </w:r>
    </w:p>
    <w:p w14:paraId="31C90705">
      <w:pPr>
        <w:spacing w:line="480" w:lineRule="exact"/>
        <w:rPr>
          <w:rFonts w:ascii="宋体" w:hAnsi="宋体" w:eastAsia="宋体" w:cs="宋体"/>
          <w:bCs/>
          <w:kern w:val="0"/>
          <w:highlight w:val="none"/>
          <w:u w:val="single"/>
        </w:rPr>
      </w:pPr>
      <w:r>
        <w:rPr>
          <w:rFonts w:hint="eastAsia" w:ascii="宋体" w:hAnsi="宋体" w:eastAsia="宋体" w:cs="宋体"/>
          <w:bCs/>
          <w:kern w:val="0"/>
          <w:highlight w:val="none"/>
        </w:rPr>
        <w:t>项目编号：</w:t>
      </w:r>
      <w:r>
        <w:rPr>
          <w:rFonts w:hint="eastAsia" w:ascii="宋体" w:hAnsi="宋体" w:eastAsia="宋体" w:cs="宋体"/>
          <w:bCs/>
          <w:kern w:val="0"/>
          <w:highlight w:val="none"/>
          <w:u w:val="single"/>
        </w:rPr>
        <w:t xml:space="preserve">                                          </w:t>
      </w:r>
    </w:p>
    <w:tbl>
      <w:tblPr>
        <w:tblStyle w:val="37"/>
        <w:tblpPr w:leftFromText="180" w:rightFromText="180" w:vertAnchor="text" w:horzAnchor="page" w:tblpX="1767" w:tblpY="195"/>
        <w:tblOverlap w:val="never"/>
        <w:tblW w:w="48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2196"/>
        <w:gridCol w:w="6272"/>
      </w:tblGrid>
      <w:tr w14:paraId="71C9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Align w:val="center"/>
          </w:tcPr>
          <w:p w14:paraId="3853937E">
            <w:pPr>
              <w:spacing w:line="480" w:lineRule="exact"/>
              <w:jc w:val="center"/>
              <w:rPr>
                <w:rFonts w:ascii="宋体" w:hAnsi="宋体" w:eastAsia="宋体" w:cs="宋体"/>
                <w:highlight w:val="none"/>
              </w:rPr>
            </w:pPr>
            <w:r>
              <w:rPr>
                <w:rFonts w:hint="eastAsia" w:ascii="宋体" w:hAnsi="宋体" w:eastAsia="宋体" w:cs="宋体"/>
                <w:highlight w:val="none"/>
              </w:rPr>
              <w:t>1</w:t>
            </w:r>
          </w:p>
        </w:tc>
        <w:tc>
          <w:tcPr>
            <w:tcW w:w="1184" w:type="pct"/>
            <w:vAlign w:val="center"/>
          </w:tcPr>
          <w:p w14:paraId="31E57379">
            <w:pPr>
              <w:spacing w:line="480" w:lineRule="exact"/>
              <w:jc w:val="center"/>
              <w:rPr>
                <w:rFonts w:ascii="宋体" w:hAnsi="宋体" w:eastAsia="宋体" w:cs="宋体"/>
                <w:highlight w:val="none"/>
              </w:rPr>
            </w:pPr>
            <w:r>
              <w:rPr>
                <w:rFonts w:hint="eastAsia" w:ascii="宋体" w:hAnsi="宋体" w:eastAsia="宋体" w:cs="宋体"/>
                <w:highlight w:val="none"/>
              </w:rPr>
              <w:t>供应商名称</w:t>
            </w:r>
          </w:p>
        </w:tc>
        <w:tc>
          <w:tcPr>
            <w:tcW w:w="3381" w:type="pct"/>
            <w:vAlign w:val="center"/>
          </w:tcPr>
          <w:p w14:paraId="1663B6F3">
            <w:pPr>
              <w:spacing w:line="480" w:lineRule="exact"/>
              <w:rPr>
                <w:rFonts w:ascii="宋体" w:hAnsi="宋体" w:eastAsia="宋体" w:cs="宋体"/>
                <w:bCs/>
                <w:highlight w:val="none"/>
              </w:rPr>
            </w:pPr>
          </w:p>
        </w:tc>
      </w:tr>
      <w:tr w14:paraId="019F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Merge w:val="restart"/>
            <w:vAlign w:val="center"/>
          </w:tcPr>
          <w:p w14:paraId="591D57B0">
            <w:pPr>
              <w:spacing w:line="480" w:lineRule="exact"/>
              <w:jc w:val="center"/>
              <w:rPr>
                <w:rFonts w:ascii="宋体" w:hAnsi="宋体" w:eastAsia="宋体" w:cs="宋体"/>
                <w:bCs/>
                <w:highlight w:val="none"/>
              </w:rPr>
            </w:pPr>
            <w:r>
              <w:rPr>
                <w:rFonts w:hint="eastAsia" w:ascii="宋体" w:hAnsi="宋体" w:eastAsia="宋体" w:cs="宋体"/>
                <w:highlight w:val="none"/>
              </w:rPr>
              <w:t>2</w:t>
            </w:r>
          </w:p>
        </w:tc>
        <w:tc>
          <w:tcPr>
            <w:tcW w:w="1184" w:type="pct"/>
            <w:vMerge w:val="restart"/>
            <w:vAlign w:val="center"/>
          </w:tcPr>
          <w:p w14:paraId="67CD936A">
            <w:pPr>
              <w:spacing w:line="480" w:lineRule="exact"/>
              <w:jc w:val="center"/>
              <w:rPr>
                <w:rFonts w:ascii="宋体" w:hAnsi="宋体" w:eastAsia="宋体" w:cs="宋体"/>
                <w:highlight w:val="none"/>
              </w:rPr>
            </w:pPr>
            <w:r>
              <w:rPr>
                <w:rFonts w:hint="eastAsia" w:ascii="宋体" w:hAnsi="宋体" w:eastAsia="宋体" w:cs="宋体"/>
                <w:highlight w:val="none"/>
              </w:rPr>
              <w:t>磋商报价</w:t>
            </w:r>
          </w:p>
          <w:p w14:paraId="51AF85A6">
            <w:pPr>
              <w:spacing w:line="480" w:lineRule="exact"/>
              <w:jc w:val="center"/>
              <w:rPr>
                <w:rFonts w:ascii="宋体" w:hAnsi="宋体" w:eastAsia="宋体" w:cs="宋体"/>
                <w:highlight w:val="none"/>
              </w:rPr>
            </w:pPr>
            <w:r>
              <w:rPr>
                <w:rFonts w:hint="eastAsia" w:ascii="宋体" w:hAnsi="宋体" w:eastAsia="宋体" w:cs="宋体"/>
                <w:highlight w:val="none"/>
              </w:rPr>
              <w:t>（元）</w:t>
            </w:r>
          </w:p>
        </w:tc>
        <w:tc>
          <w:tcPr>
            <w:tcW w:w="3381" w:type="pct"/>
            <w:vAlign w:val="center"/>
          </w:tcPr>
          <w:p w14:paraId="7690BBB2">
            <w:pPr>
              <w:spacing w:line="480" w:lineRule="exact"/>
              <w:rPr>
                <w:rFonts w:ascii="宋体" w:hAnsi="宋体" w:eastAsia="宋体" w:cs="宋体"/>
                <w:bCs/>
                <w:highlight w:val="none"/>
              </w:rPr>
            </w:pPr>
            <w:r>
              <w:rPr>
                <w:rFonts w:hint="eastAsia" w:ascii="宋体" w:hAnsi="宋体" w:eastAsia="宋体" w:cs="宋体"/>
                <w:bCs/>
                <w:highlight w:val="none"/>
              </w:rPr>
              <w:t>大 写：</w:t>
            </w:r>
          </w:p>
        </w:tc>
      </w:tr>
      <w:tr w14:paraId="0F92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3" w:type="pct"/>
            <w:vMerge w:val="continue"/>
            <w:vAlign w:val="center"/>
          </w:tcPr>
          <w:p w14:paraId="52E4E0E0">
            <w:pPr>
              <w:spacing w:line="480" w:lineRule="exact"/>
              <w:jc w:val="center"/>
              <w:rPr>
                <w:rFonts w:ascii="宋体" w:hAnsi="宋体" w:eastAsia="宋体" w:cs="宋体"/>
                <w:bCs/>
                <w:highlight w:val="none"/>
              </w:rPr>
            </w:pPr>
          </w:p>
        </w:tc>
        <w:tc>
          <w:tcPr>
            <w:tcW w:w="1184" w:type="pct"/>
            <w:vMerge w:val="continue"/>
            <w:vAlign w:val="center"/>
          </w:tcPr>
          <w:p w14:paraId="51C14AE8">
            <w:pPr>
              <w:spacing w:line="480" w:lineRule="exact"/>
              <w:jc w:val="center"/>
              <w:rPr>
                <w:rFonts w:ascii="宋体" w:hAnsi="宋体" w:eastAsia="宋体" w:cs="宋体"/>
                <w:bCs/>
                <w:highlight w:val="none"/>
              </w:rPr>
            </w:pPr>
          </w:p>
        </w:tc>
        <w:tc>
          <w:tcPr>
            <w:tcW w:w="3381" w:type="pct"/>
            <w:vAlign w:val="center"/>
          </w:tcPr>
          <w:p w14:paraId="0659EFC9">
            <w:pPr>
              <w:spacing w:line="480" w:lineRule="exact"/>
              <w:rPr>
                <w:rFonts w:ascii="宋体" w:hAnsi="宋体" w:eastAsia="宋体" w:cs="宋体"/>
                <w:bCs/>
                <w:highlight w:val="none"/>
              </w:rPr>
            </w:pPr>
            <w:r>
              <w:rPr>
                <w:rFonts w:hint="eastAsia" w:ascii="宋体" w:hAnsi="宋体" w:eastAsia="宋体" w:cs="宋体"/>
                <w:bCs/>
                <w:highlight w:val="none"/>
              </w:rPr>
              <w:t>小 写：</w:t>
            </w:r>
          </w:p>
        </w:tc>
      </w:tr>
      <w:tr w14:paraId="34D7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trPr>
        <w:tc>
          <w:tcPr>
            <w:tcW w:w="433" w:type="pct"/>
            <w:vAlign w:val="center"/>
          </w:tcPr>
          <w:p w14:paraId="46D0EFCE">
            <w:pPr>
              <w:spacing w:line="480" w:lineRule="exact"/>
              <w:jc w:val="center"/>
              <w:rPr>
                <w:rFonts w:ascii="宋体" w:hAnsi="宋体" w:eastAsia="宋体" w:cs="宋体"/>
                <w:highlight w:val="none"/>
              </w:rPr>
            </w:pPr>
            <w:r>
              <w:rPr>
                <w:rFonts w:hint="eastAsia" w:ascii="宋体" w:hAnsi="宋体" w:eastAsia="宋体" w:cs="宋体"/>
                <w:highlight w:val="none"/>
              </w:rPr>
              <w:t>3</w:t>
            </w:r>
          </w:p>
        </w:tc>
        <w:tc>
          <w:tcPr>
            <w:tcW w:w="1184" w:type="pct"/>
            <w:vAlign w:val="center"/>
          </w:tcPr>
          <w:p w14:paraId="7F18FE7B">
            <w:pPr>
              <w:spacing w:line="480" w:lineRule="exact"/>
              <w:jc w:val="center"/>
              <w:rPr>
                <w:rFonts w:ascii="宋体" w:hAnsi="宋体" w:eastAsia="宋体" w:cs="宋体"/>
                <w:highlight w:val="none"/>
              </w:rPr>
            </w:pPr>
            <w:r>
              <w:rPr>
                <w:rFonts w:hint="eastAsia" w:ascii="宋体" w:hAnsi="宋体" w:eastAsia="宋体" w:cs="宋体"/>
                <w:highlight w:val="none"/>
              </w:rPr>
              <w:t>服务期限</w:t>
            </w:r>
          </w:p>
        </w:tc>
        <w:tc>
          <w:tcPr>
            <w:tcW w:w="3381" w:type="pct"/>
            <w:vAlign w:val="center"/>
          </w:tcPr>
          <w:p w14:paraId="533B0CA2">
            <w:pPr>
              <w:spacing w:line="480" w:lineRule="exact"/>
              <w:rPr>
                <w:rFonts w:ascii="宋体" w:hAnsi="宋体" w:eastAsia="宋体" w:cs="宋体"/>
                <w:highlight w:val="none"/>
              </w:rPr>
            </w:pPr>
          </w:p>
        </w:tc>
      </w:tr>
      <w:tr w14:paraId="5BA7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trPr>
        <w:tc>
          <w:tcPr>
            <w:tcW w:w="433" w:type="pct"/>
            <w:vAlign w:val="center"/>
          </w:tcPr>
          <w:p w14:paraId="77F76D8D">
            <w:pPr>
              <w:spacing w:line="480" w:lineRule="exact"/>
              <w:jc w:val="center"/>
              <w:rPr>
                <w:rFonts w:ascii="宋体" w:hAnsi="宋体" w:eastAsia="宋体" w:cs="宋体"/>
                <w:highlight w:val="none"/>
              </w:rPr>
            </w:pPr>
            <w:r>
              <w:rPr>
                <w:rFonts w:hint="eastAsia" w:ascii="宋体" w:hAnsi="宋体" w:eastAsia="宋体" w:cs="宋体"/>
                <w:highlight w:val="none"/>
              </w:rPr>
              <w:t>4</w:t>
            </w:r>
          </w:p>
        </w:tc>
        <w:tc>
          <w:tcPr>
            <w:tcW w:w="1184" w:type="pct"/>
            <w:vAlign w:val="center"/>
          </w:tcPr>
          <w:p w14:paraId="21E4FF4E">
            <w:pPr>
              <w:spacing w:line="480" w:lineRule="exact"/>
              <w:jc w:val="center"/>
              <w:rPr>
                <w:rFonts w:ascii="宋体" w:hAnsi="宋体" w:eastAsia="宋体" w:cs="宋体"/>
                <w:highlight w:val="none"/>
              </w:rPr>
            </w:pPr>
            <w:r>
              <w:rPr>
                <w:rFonts w:hint="eastAsia" w:ascii="宋体" w:hAnsi="宋体" w:eastAsia="宋体" w:cs="宋体"/>
                <w:highlight w:val="none"/>
              </w:rPr>
              <w:t>质量标准</w:t>
            </w:r>
          </w:p>
        </w:tc>
        <w:tc>
          <w:tcPr>
            <w:tcW w:w="3381" w:type="pct"/>
            <w:vAlign w:val="center"/>
          </w:tcPr>
          <w:p w14:paraId="15C92AFB">
            <w:pPr>
              <w:spacing w:line="480" w:lineRule="exact"/>
              <w:jc w:val="left"/>
              <w:rPr>
                <w:rFonts w:ascii="宋体" w:hAnsi="宋体" w:eastAsia="宋体" w:cs="宋体"/>
                <w:highlight w:val="none"/>
                <w:u w:val="single"/>
              </w:rPr>
            </w:pPr>
          </w:p>
        </w:tc>
      </w:tr>
      <w:tr w14:paraId="1289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33" w:type="pct"/>
            <w:tcBorders>
              <w:bottom w:val="single" w:color="auto" w:sz="4" w:space="0"/>
            </w:tcBorders>
            <w:vAlign w:val="center"/>
          </w:tcPr>
          <w:p w14:paraId="044B6754">
            <w:pPr>
              <w:kinsoku w:val="0"/>
              <w:spacing w:line="480" w:lineRule="exact"/>
              <w:jc w:val="center"/>
              <w:rPr>
                <w:rFonts w:ascii="宋体" w:hAnsi="宋体" w:eastAsia="宋体" w:cs="宋体"/>
                <w:b/>
                <w:highlight w:val="none"/>
              </w:rPr>
            </w:pPr>
            <w:r>
              <w:rPr>
                <w:rFonts w:hint="eastAsia" w:ascii="宋体" w:hAnsi="宋体" w:eastAsia="宋体" w:cs="宋体"/>
                <w:bCs/>
                <w:highlight w:val="none"/>
              </w:rPr>
              <w:t>5</w:t>
            </w:r>
          </w:p>
        </w:tc>
        <w:tc>
          <w:tcPr>
            <w:tcW w:w="4566" w:type="pct"/>
            <w:gridSpan w:val="2"/>
            <w:tcBorders>
              <w:bottom w:val="single" w:color="auto" w:sz="4" w:space="0"/>
            </w:tcBorders>
            <w:vAlign w:val="center"/>
          </w:tcPr>
          <w:p w14:paraId="67F99F6F">
            <w:pPr>
              <w:kinsoku w:val="0"/>
              <w:spacing w:line="480" w:lineRule="exact"/>
              <w:rPr>
                <w:rFonts w:ascii="宋体" w:hAnsi="宋体" w:eastAsia="宋体" w:cs="宋体"/>
                <w:highlight w:val="none"/>
              </w:rPr>
            </w:pPr>
            <w:r>
              <w:rPr>
                <w:rFonts w:hint="eastAsia" w:ascii="宋体" w:hAnsi="宋体" w:eastAsia="宋体" w:cs="宋体"/>
                <w:b/>
                <w:highlight w:val="none"/>
              </w:rPr>
              <w:t>备注：精确到小数点后两位，大小写不一致时，以大写为准。</w:t>
            </w:r>
          </w:p>
        </w:tc>
      </w:tr>
    </w:tbl>
    <w:p w14:paraId="443FB867">
      <w:pPr>
        <w:spacing w:line="480" w:lineRule="exact"/>
        <w:rPr>
          <w:rFonts w:hint="eastAsia" w:ascii="宋体" w:hAnsi="宋体" w:eastAsia="宋体" w:cs="宋体"/>
          <w:bCs/>
          <w:kern w:val="0"/>
          <w:highlight w:val="none"/>
        </w:rPr>
      </w:pPr>
      <w:r>
        <w:rPr>
          <w:rFonts w:hint="eastAsia" w:ascii="宋体" w:hAnsi="宋体" w:eastAsia="宋体" w:cs="宋体"/>
          <w:bCs/>
          <w:kern w:val="0"/>
          <w:highlight w:val="none"/>
        </w:rPr>
        <w:t>注：1、本表价格应按总价填写，同时应保证磋商响应文件的正、副本中仍有此表且一致。</w:t>
      </w:r>
    </w:p>
    <w:p w14:paraId="34726D4D">
      <w:pPr>
        <w:spacing w:line="480" w:lineRule="exact"/>
        <w:ind w:firstLine="480" w:firstLineChars="200"/>
        <w:rPr>
          <w:rFonts w:ascii="宋体" w:hAnsi="宋体" w:eastAsia="宋体" w:cs="宋体"/>
          <w:bCs/>
          <w:kern w:val="0"/>
          <w:highlight w:val="none"/>
        </w:rPr>
      </w:pPr>
      <w:r>
        <w:rPr>
          <w:rFonts w:hint="eastAsia" w:ascii="宋体" w:hAnsi="宋体" w:eastAsia="宋体" w:cs="宋体"/>
          <w:bCs/>
          <w:kern w:val="0"/>
          <w:highlight w:val="none"/>
          <w:lang w:val="en-US" w:eastAsia="zh-CN"/>
        </w:rPr>
        <w:t>2</w:t>
      </w:r>
      <w:r>
        <w:rPr>
          <w:rFonts w:hint="eastAsia" w:ascii="宋体" w:hAnsi="宋体" w:eastAsia="宋体" w:cs="宋体"/>
          <w:bCs/>
          <w:kern w:val="0"/>
          <w:highlight w:val="none"/>
        </w:rPr>
        <w:t>、报价精确到小数点后两位。</w:t>
      </w:r>
    </w:p>
    <w:p w14:paraId="355AB44C">
      <w:pPr>
        <w:spacing w:line="480" w:lineRule="exact"/>
        <w:rPr>
          <w:rFonts w:ascii="宋体" w:hAnsi="宋体" w:eastAsia="宋体" w:cs="宋体"/>
          <w:bCs/>
          <w:kern w:val="0"/>
          <w:highlight w:val="none"/>
        </w:rPr>
      </w:pPr>
    </w:p>
    <w:p w14:paraId="4B664578">
      <w:pPr>
        <w:spacing w:line="480" w:lineRule="exact"/>
        <w:rPr>
          <w:rFonts w:ascii="宋体" w:hAnsi="宋体" w:eastAsia="宋体" w:cs="宋体"/>
          <w:bCs/>
          <w:kern w:val="0"/>
          <w:highlight w:val="none"/>
        </w:rPr>
      </w:pPr>
    </w:p>
    <w:p w14:paraId="2579477C">
      <w:pPr>
        <w:spacing w:line="480" w:lineRule="exact"/>
        <w:rPr>
          <w:rFonts w:ascii="宋体" w:hAnsi="宋体" w:eastAsia="宋体" w:cs="宋体"/>
          <w:bCs/>
          <w:kern w:val="0"/>
          <w:highlight w:val="none"/>
        </w:rPr>
      </w:pPr>
      <w:r>
        <w:rPr>
          <w:rFonts w:hint="eastAsia" w:ascii="宋体" w:hAnsi="宋体" w:eastAsia="宋体" w:cs="宋体"/>
          <w:bCs/>
          <w:kern w:val="0"/>
          <w:highlight w:val="none"/>
        </w:rPr>
        <w:t>供应商名称：</w:t>
      </w:r>
      <w:r>
        <w:rPr>
          <w:rFonts w:hint="eastAsia" w:ascii="宋体" w:hAnsi="宋体" w:eastAsia="宋体" w:cs="宋体"/>
          <w:bCs/>
          <w:kern w:val="0"/>
          <w:highlight w:val="none"/>
          <w:u w:val="single"/>
        </w:rPr>
        <w:t xml:space="preserve">                             </w:t>
      </w:r>
      <w:r>
        <w:rPr>
          <w:rFonts w:hint="eastAsia" w:ascii="宋体" w:hAnsi="宋体" w:eastAsia="宋体" w:cs="宋体"/>
          <w:bCs/>
          <w:kern w:val="0"/>
          <w:highlight w:val="none"/>
        </w:rPr>
        <w:t>（盖章）</w:t>
      </w:r>
    </w:p>
    <w:p w14:paraId="4E7B1614">
      <w:pPr>
        <w:spacing w:line="480" w:lineRule="exact"/>
        <w:rPr>
          <w:rFonts w:ascii="宋体" w:hAnsi="宋体" w:eastAsia="宋体" w:cs="宋体"/>
          <w:bCs/>
          <w:kern w:val="0"/>
          <w:highlight w:val="none"/>
        </w:rPr>
      </w:pPr>
      <w:r>
        <w:rPr>
          <w:rFonts w:hint="eastAsia" w:ascii="宋体" w:hAnsi="宋体" w:eastAsia="宋体" w:cs="宋体"/>
          <w:bCs/>
          <w:kern w:val="0"/>
          <w:highlight w:val="none"/>
        </w:rPr>
        <w:t>法定代表人或授权代表：</w:t>
      </w:r>
      <w:r>
        <w:rPr>
          <w:rFonts w:hint="eastAsia" w:ascii="宋体" w:hAnsi="宋体" w:eastAsia="宋体" w:cs="宋体"/>
          <w:bCs/>
          <w:kern w:val="0"/>
          <w:highlight w:val="none"/>
          <w:u w:val="single"/>
        </w:rPr>
        <w:t xml:space="preserve">            </w:t>
      </w:r>
      <w:r>
        <w:rPr>
          <w:rFonts w:hint="eastAsia" w:ascii="宋体" w:hAnsi="宋体" w:eastAsia="宋体" w:cs="宋体"/>
          <w:highlight w:val="none"/>
        </w:rPr>
        <w:t>（签字或盖章）</w:t>
      </w:r>
    </w:p>
    <w:p w14:paraId="1933B7CD">
      <w:pPr>
        <w:spacing w:line="480" w:lineRule="exact"/>
        <w:rPr>
          <w:rFonts w:ascii="宋体" w:hAnsi="宋体" w:eastAsia="宋体" w:cs="宋体"/>
          <w:bCs/>
          <w:kern w:val="0"/>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26468134">
      <w:pPr>
        <w:pStyle w:val="22"/>
        <w:spacing w:line="480" w:lineRule="exact"/>
        <w:rPr>
          <w:rFonts w:ascii="宋体" w:hAnsi="宋体" w:cs="宋体"/>
          <w:highlight w:val="none"/>
        </w:rPr>
      </w:pPr>
    </w:p>
    <w:p w14:paraId="5FBA8B33">
      <w:pPr>
        <w:rPr>
          <w:rFonts w:ascii="宋体" w:hAnsi="宋体" w:eastAsia="宋体" w:cs="宋体"/>
          <w:sz w:val="28"/>
          <w:szCs w:val="28"/>
          <w:highlight w:val="none"/>
        </w:rPr>
      </w:pPr>
      <w:r>
        <w:rPr>
          <w:rFonts w:hint="eastAsia" w:ascii="宋体" w:hAnsi="宋体" w:eastAsia="宋体" w:cs="宋体"/>
          <w:sz w:val="28"/>
          <w:szCs w:val="28"/>
          <w:highlight w:val="none"/>
        </w:rPr>
        <w:br w:type="page"/>
      </w:r>
    </w:p>
    <w:p w14:paraId="513348B7">
      <w:pPr>
        <w:pStyle w:val="57"/>
        <w:spacing w:line="480" w:lineRule="auto"/>
        <w:ind w:firstLine="0" w:firstLineChars="0"/>
        <w:jc w:val="center"/>
        <w:rPr>
          <w:rFonts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分项报价表</w:t>
      </w:r>
    </w:p>
    <w:p w14:paraId="0250485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总报价是供应商响应本项目要求的全部工作内容的价格体现，供应商在报价时应充分考虑所有可能发生的费用，磋商文件未列明，而供应商认为应当计取的费用均应列入报价中。报价时不论是否计取，采购人均按已计取对待，不再单独支付其他任何费用。</w:t>
      </w:r>
      <w:r>
        <w:rPr>
          <w:rFonts w:hint="eastAsia" w:ascii="宋体" w:hAnsi="宋体" w:eastAsia="宋体" w:cs="宋体"/>
          <w:color w:val="000000" w:themeColor="text1"/>
          <w:szCs w:val="24"/>
          <w:highlight w:val="none"/>
          <w:lang w:val="en-US" w:eastAsia="zh-CN"/>
          <w14:textFill>
            <w14:solidFill>
              <w14:schemeClr w14:val="tx1"/>
            </w14:solidFill>
          </w14:textFill>
        </w:rPr>
        <w:t>请供应商根据实际情况进行分项报价。（格式自拟）</w:t>
      </w:r>
    </w:p>
    <w:bookmarkEnd w:id="123"/>
    <w:bookmarkEnd w:id="124"/>
    <w:bookmarkEnd w:id="125"/>
    <w:p w14:paraId="5A68D659">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bookmarkStart w:id="130" w:name="_Toc458617477"/>
      <w:bookmarkStart w:id="131" w:name="_Toc13908"/>
      <w:bookmarkStart w:id="132" w:name="_Toc188808839"/>
      <w:bookmarkStart w:id="133" w:name="_Toc193187104"/>
      <w:bookmarkStart w:id="134" w:name="_Toc237"/>
      <w:bookmarkStart w:id="135" w:name="_Toc193126888"/>
      <w:bookmarkStart w:id="136" w:name="_Toc194663925"/>
    </w:p>
    <w:p w14:paraId="68365D8D">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468532AF">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2DB1D3A7">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5E58F46E">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4B2A09AB">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25EA15BA">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0EE1966B">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1134C5CE">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1E721BE8">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40FFB781">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3415296D">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446A5D97">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0680B692">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003F8F07">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20FEFA48">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43A35816">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0F68C3B9">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2EBFBF49">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49BCDBB2">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24791290">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7E6258D7">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24A0BF69">
      <w:pPr>
        <w:spacing w:line="360" w:lineRule="auto"/>
        <w:jc w:val="center"/>
        <w:rPr>
          <w:rFonts w:hint="eastAsia" w:asciiTheme="minorEastAsia" w:hAnsiTheme="minorEastAsia" w:cstheme="minorEastAsia"/>
          <w:b/>
          <w:color w:val="000000" w:themeColor="text1"/>
          <w:kern w:val="0"/>
          <w:sz w:val="24"/>
          <w:lang w:val="en-US" w:eastAsia="zh-CN"/>
          <w14:textFill>
            <w14:solidFill>
              <w14:schemeClr w14:val="tx1"/>
            </w14:solidFill>
          </w14:textFill>
        </w:rPr>
      </w:pPr>
    </w:p>
    <w:p w14:paraId="08B79FC8">
      <w:pPr>
        <w:spacing w:line="360" w:lineRule="auto"/>
        <w:jc w:val="center"/>
        <w:rPr>
          <w:rFonts w:asciiTheme="minorEastAsia" w:hAnsiTheme="minorEastAsia" w:cstheme="minorEastAsia"/>
          <w:b/>
          <w:color w:val="000000" w:themeColor="text1"/>
          <w:kern w:val="0"/>
          <w:sz w:val="24"/>
          <w14:textFill>
            <w14:solidFill>
              <w14:schemeClr w14:val="tx1"/>
            </w14:solidFill>
          </w14:textFill>
        </w:rPr>
      </w:pPr>
      <w:r>
        <w:rPr>
          <w:rFonts w:hint="eastAsia" w:asciiTheme="minorEastAsia" w:hAnsiTheme="minorEastAsia" w:cstheme="minorEastAsia"/>
          <w:b/>
          <w:color w:val="000000" w:themeColor="text1"/>
          <w:kern w:val="0"/>
          <w:sz w:val="24"/>
          <w:lang w:val="en-US" w:eastAsia="zh-CN"/>
          <w14:textFill>
            <w14:solidFill>
              <w14:schemeClr w14:val="tx1"/>
            </w14:solidFill>
          </w14:textFill>
        </w:rPr>
        <w:t>3.技术服务</w:t>
      </w:r>
      <w:r>
        <w:rPr>
          <w:rFonts w:hint="eastAsia" w:asciiTheme="minorEastAsia" w:hAnsiTheme="minorEastAsia" w:cstheme="minorEastAsia"/>
          <w:b/>
          <w:color w:val="000000" w:themeColor="text1"/>
          <w:kern w:val="0"/>
          <w:sz w:val="24"/>
          <w14:textFill>
            <w14:solidFill>
              <w14:schemeClr w14:val="tx1"/>
            </w14:solidFill>
          </w14:textFill>
        </w:rPr>
        <w:t>偏差表</w:t>
      </w:r>
    </w:p>
    <w:p w14:paraId="5A68302D">
      <w:pPr>
        <w:tabs>
          <w:tab w:val="left" w:pos="7920"/>
        </w:tabs>
        <w:kinsoku w:val="0"/>
        <w:spacing w:line="500" w:lineRule="exact"/>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 xml:space="preserve">项目名称：                                          </w:t>
      </w:r>
      <w:r>
        <w:rPr>
          <w:rFonts w:asciiTheme="minorEastAsia" w:hAnsiTheme="minorEastAsia" w:cstheme="minorEastAsia"/>
          <w:color w:val="000000" w:themeColor="text1"/>
          <w:sz w:val="24"/>
          <w14:textFill>
            <w14:solidFill>
              <w14:schemeClr w14:val="tx1"/>
            </w14:solidFill>
          </w14:textFill>
        </w:rPr>
        <w:tab/>
      </w:r>
    </w:p>
    <w:p w14:paraId="3CA8668E">
      <w:pPr>
        <w:kinsoku w:val="0"/>
        <w:spacing w:line="500" w:lineRule="exact"/>
        <w:ind w:left="-137" w:leftChars="-57" w:firstLine="120" w:firstLineChars="50"/>
        <w:rPr>
          <w:rFonts w:ascii="宋体" w:hAnsi="宋体" w:eastAsia="宋体"/>
          <w:color w:val="000000" w:themeColor="text1"/>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项目编号：</w:t>
      </w:r>
      <w:r>
        <w:rPr>
          <w:rFonts w:hint="eastAsia" w:ascii="宋体" w:hAnsi="宋体"/>
          <w:color w:val="000000" w:themeColor="text1"/>
          <w14:textFill>
            <w14:solidFill>
              <w14:schemeClr w14:val="tx1"/>
            </w14:solidFill>
          </w14:textFill>
        </w:rPr>
        <w:t xml:space="preserve">                                        共   页，第   页</w:t>
      </w:r>
    </w:p>
    <w:tbl>
      <w:tblPr>
        <w:tblStyle w:val="37"/>
        <w:tblW w:w="89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3353"/>
        <w:gridCol w:w="2851"/>
        <w:gridCol w:w="1649"/>
      </w:tblGrid>
      <w:tr w14:paraId="39CC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066" w:type="dxa"/>
            <w:vAlign w:val="center"/>
          </w:tcPr>
          <w:p w14:paraId="74E9A4D7">
            <w:pPr>
              <w:pStyle w:val="17"/>
              <w:spacing w:line="400" w:lineRule="exact"/>
              <w:jc w:val="center"/>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序号</w:t>
            </w:r>
          </w:p>
        </w:tc>
        <w:tc>
          <w:tcPr>
            <w:tcW w:w="3353" w:type="dxa"/>
            <w:vAlign w:val="center"/>
          </w:tcPr>
          <w:p w14:paraId="7567FEB6">
            <w:pPr>
              <w:pStyle w:val="17"/>
              <w:spacing w:line="400" w:lineRule="exact"/>
              <w:jc w:val="center"/>
              <w:rPr>
                <w:rFonts w:hint="eastAsia"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lang w:eastAsia="zh-CN"/>
                <w14:textFill>
                  <w14:solidFill>
                    <w14:schemeClr w14:val="tx1"/>
                  </w14:solidFill>
                </w14:textFill>
              </w:rPr>
              <w:t>磋商</w:t>
            </w:r>
            <w:r>
              <w:rPr>
                <w:rFonts w:hint="eastAsia" w:hAnsi="宋体" w:eastAsia="宋体"/>
                <w:color w:val="000000" w:themeColor="text1"/>
                <w:sz w:val="24"/>
                <w:szCs w:val="24"/>
                <w14:textFill>
                  <w14:solidFill>
                    <w14:schemeClr w14:val="tx1"/>
                  </w14:solidFill>
                </w14:textFill>
              </w:rPr>
              <w:t>文件要求</w:t>
            </w:r>
          </w:p>
          <w:p w14:paraId="7F5D2FD7">
            <w:pPr>
              <w:pStyle w:val="17"/>
              <w:spacing w:line="400" w:lineRule="exact"/>
              <w:jc w:val="center"/>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技术规格需求</w:t>
            </w:r>
          </w:p>
        </w:tc>
        <w:tc>
          <w:tcPr>
            <w:tcW w:w="2851" w:type="dxa"/>
            <w:vAlign w:val="center"/>
          </w:tcPr>
          <w:p w14:paraId="76D9AE77">
            <w:pPr>
              <w:pStyle w:val="17"/>
              <w:spacing w:line="400" w:lineRule="exact"/>
              <w:jc w:val="center"/>
              <w:rPr>
                <w:rFonts w:hint="eastAsia"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响应文件</w:t>
            </w:r>
          </w:p>
          <w:p w14:paraId="31CCAD40">
            <w:pPr>
              <w:pStyle w:val="17"/>
              <w:spacing w:line="400" w:lineRule="exact"/>
              <w:jc w:val="center"/>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实际响应技术规格</w:t>
            </w:r>
          </w:p>
        </w:tc>
        <w:tc>
          <w:tcPr>
            <w:tcW w:w="1649" w:type="dxa"/>
            <w:vAlign w:val="center"/>
          </w:tcPr>
          <w:p w14:paraId="73CB3AE9">
            <w:pPr>
              <w:pStyle w:val="17"/>
              <w:spacing w:line="400" w:lineRule="exact"/>
              <w:jc w:val="center"/>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偏差说明</w:t>
            </w:r>
          </w:p>
        </w:tc>
      </w:tr>
      <w:tr w14:paraId="1CF2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66" w:type="dxa"/>
          </w:tcPr>
          <w:p w14:paraId="3CF71FB7">
            <w:pPr>
              <w:pStyle w:val="17"/>
              <w:spacing w:line="600" w:lineRule="exact"/>
              <w:rPr>
                <w:rFonts w:hAnsi="宋体" w:eastAsia="宋体"/>
                <w:color w:val="000000" w:themeColor="text1"/>
                <w:sz w:val="24"/>
                <w:szCs w:val="24"/>
                <w14:textFill>
                  <w14:solidFill>
                    <w14:schemeClr w14:val="tx1"/>
                  </w14:solidFill>
                </w14:textFill>
              </w:rPr>
            </w:pPr>
          </w:p>
        </w:tc>
        <w:tc>
          <w:tcPr>
            <w:tcW w:w="3353" w:type="dxa"/>
            <w:vAlign w:val="center"/>
          </w:tcPr>
          <w:p w14:paraId="3FB801CE">
            <w:pPr>
              <w:pStyle w:val="17"/>
              <w:spacing w:line="600" w:lineRule="exact"/>
              <w:rPr>
                <w:rFonts w:hAnsi="宋体" w:eastAsia="宋体"/>
                <w:color w:val="000000" w:themeColor="text1"/>
                <w:sz w:val="24"/>
                <w:szCs w:val="24"/>
                <w14:textFill>
                  <w14:solidFill>
                    <w14:schemeClr w14:val="tx1"/>
                  </w14:solidFill>
                </w14:textFill>
              </w:rPr>
            </w:pPr>
          </w:p>
        </w:tc>
        <w:tc>
          <w:tcPr>
            <w:tcW w:w="2851" w:type="dxa"/>
            <w:vAlign w:val="center"/>
          </w:tcPr>
          <w:p w14:paraId="70F4116B">
            <w:pPr>
              <w:pStyle w:val="17"/>
              <w:spacing w:line="600" w:lineRule="exact"/>
              <w:rPr>
                <w:rFonts w:hAnsi="宋体" w:eastAsia="宋体"/>
                <w:color w:val="000000" w:themeColor="text1"/>
                <w:sz w:val="24"/>
                <w:szCs w:val="24"/>
                <w14:textFill>
                  <w14:solidFill>
                    <w14:schemeClr w14:val="tx1"/>
                  </w14:solidFill>
                </w14:textFill>
              </w:rPr>
            </w:pPr>
          </w:p>
        </w:tc>
        <w:tc>
          <w:tcPr>
            <w:tcW w:w="1649" w:type="dxa"/>
            <w:vAlign w:val="center"/>
          </w:tcPr>
          <w:p w14:paraId="33BD8A54">
            <w:pPr>
              <w:pStyle w:val="17"/>
              <w:spacing w:line="600" w:lineRule="exact"/>
              <w:rPr>
                <w:rFonts w:hAnsi="宋体" w:eastAsia="宋体"/>
                <w:color w:val="000000" w:themeColor="text1"/>
                <w:sz w:val="24"/>
                <w:szCs w:val="24"/>
                <w14:textFill>
                  <w14:solidFill>
                    <w14:schemeClr w14:val="tx1"/>
                  </w14:solidFill>
                </w14:textFill>
              </w:rPr>
            </w:pPr>
          </w:p>
        </w:tc>
      </w:tr>
      <w:tr w14:paraId="13F09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066" w:type="dxa"/>
          </w:tcPr>
          <w:p w14:paraId="22DD5885">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590E97E1">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284DDCBA">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6D611077">
            <w:pPr>
              <w:pStyle w:val="17"/>
              <w:spacing w:line="600" w:lineRule="exact"/>
              <w:rPr>
                <w:rFonts w:hAnsi="宋体" w:eastAsia="宋体"/>
                <w:color w:val="000000" w:themeColor="text1"/>
                <w:sz w:val="24"/>
                <w:szCs w:val="24"/>
                <w14:textFill>
                  <w14:solidFill>
                    <w14:schemeClr w14:val="tx1"/>
                  </w14:solidFill>
                </w14:textFill>
              </w:rPr>
            </w:pPr>
          </w:p>
        </w:tc>
      </w:tr>
      <w:tr w14:paraId="229A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066" w:type="dxa"/>
          </w:tcPr>
          <w:p w14:paraId="57F3954B">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2A60B195">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661B9250">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42361808">
            <w:pPr>
              <w:pStyle w:val="17"/>
              <w:spacing w:line="600" w:lineRule="exact"/>
              <w:rPr>
                <w:rFonts w:hAnsi="宋体" w:eastAsia="宋体"/>
                <w:color w:val="000000" w:themeColor="text1"/>
                <w:sz w:val="24"/>
                <w:szCs w:val="24"/>
                <w14:textFill>
                  <w14:solidFill>
                    <w14:schemeClr w14:val="tx1"/>
                  </w14:solidFill>
                </w14:textFill>
              </w:rPr>
            </w:pPr>
          </w:p>
        </w:tc>
      </w:tr>
      <w:tr w14:paraId="56C1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66" w:type="dxa"/>
          </w:tcPr>
          <w:p w14:paraId="46AC830C">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634FA904">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291EDAB5">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634BF4B0">
            <w:pPr>
              <w:pStyle w:val="17"/>
              <w:spacing w:line="600" w:lineRule="exact"/>
              <w:rPr>
                <w:rFonts w:hAnsi="宋体" w:eastAsia="宋体"/>
                <w:color w:val="000000" w:themeColor="text1"/>
                <w:sz w:val="24"/>
                <w:szCs w:val="24"/>
                <w14:textFill>
                  <w14:solidFill>
                    <w14:schemeClr w14:val="tx1"/>
                  </w14:solidFill>
                </w14:textFill>
              </w:rPr>
            </w:pPr>
          </w:p>
        </w:tc>
      </w:tr>
      <w:tr w14:paraId="61A3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066" w:type="dxa"/>
          </w:tcPr>
          <w:p w14:paraId="1DE8E73B">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050E7519">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7D3119D9">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6043434E">
            <w:pPr>
              <w:pStyle w:val="17"/>
              <w:spacing w:line="600" w:lineRule="exact"/>
              <w:rPr>
                <w:rFonts w:hAnsi="宋体" w:eastAsia="宋体"/>
                <w:color w:val="000000" w:themeColor="text1"/>
                <w:sz w:val="24"/>
                <w:szCs w:val="24"/>
                <w14:textFill>
                  <w14:solidFill>
                    <w14:schemeClr w14:val="tx1"/>
                  </w14:solidFill>
                </w14:textFill>
              </w:rPr>
            </w:pPr>
          </w:p>
        </w:tc>
      </w:tr>
      <w:tr w14:paraId="4DF0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66" w:type="dxa"/>
          </w:tcPr>
          <w:p w14:paraId="15FF9996">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505373D4">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242AD511">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700A1AB2">
            <w:pPr>
              <w:pStyle w:val="17"/>
              <w:spacing w:line="600" w:lineRule="exact"/>
              <w:rPr>
                <w:rFonts w:hAnsi="宋体" w:eastAsia="宋体"/>
                <w:color w:val="000000" w:themeColor="text1"/>
                <w:sz w:val="24"/>
                <w:szCs w:val="24"/>
                <w14:textFill>
                  <w14:solidFill>
                    <w14:schemeClr w14:val="tx1"/>
                  </w14:solidFill>
                </w14:textFill>
              </w:rPr>
            </w:pPr>
          </w:p>
        </w:tc>
      </w:tr>
      <w:tr w14:paraId="2F1F9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066" w:type="dxa"/>
          </w:tcPr>
          <w:p w14:paraId="2DF29C22">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4F214BF4">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7FF015BE">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67715DD1">
            <w:pPr>
              <w:pStyle w:val="17"/>
              <w:spacing w:line="600" w:lineRule="exact"/>
              <w:rPr>
                <w:rFonts w:hAnsi="宋体" w:eastAsia="宋体"/>
                <w:color w:val="000000" w:themeColor="text1"/>
                <w:sz w:val="24"/>
                <w:szCs w:val="24"/>
                <w14:textFill>
                  <w14:solidFill>
                    <w14:schemeClr w14:val="tx1"/>
                  </w14:solidFill>
                </w14:textFill>
              </w:rPr>
            </w:pPr>
          </w:p>
        </w:tc>
      </w:tr>
      <w:tr w14:paraId="4DC19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66" w:type="dxa"/>
          </w:tcPr>
          <w:p w14:paraId="7B74CC6C">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394521B9">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300C2660">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62FF206F">
            <w:pPr>
              <w:pStyle w:val="17"/>
              <w:spacing w:line="600" w:lineRule="exact"/>
              <w:rPr>
                <w:rFonts w:hAnsi="宋体" w:eastAsia="宋体"/>
                <w:color w:val="000000" w:themeColor="text1"/>
                <w:sz w:val="24"/>
                <w:szCs w:val="24"/>
                <w14:textFill>
                  <w14:solidFill>
                    <w14:schemeClr w14:val="tx1"/>
                  </w14:solidFill>
                </w14:textFill>
              </w:rPr>
            </w:pPr>
          </w:p>
        </w:tc>
      </w:tr>
      <w:tr w14:paraId="54FF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66" w:type="dxa"/>
          </w:tcPr>
          <w:p w14:paraId="551C6F29">
            <w:pPr>
              <w:pStyle w:val="17"/>
              <w:spacing w:line="600" w:lineRule="exact"/>
              <w:rPr>
                <w:rFonts w:hAnsi="宋体" w:eastAsia="宋体"/>
                <w:color w:val="000000" w:themeColor="text1"/>
                <w:sz w:val="24"/>
                <w:szCs w:val="24"/>
                <w14:textFill>
                  <w14:solidFill>
                    <w14:schemeClr w14:val="tx1"/>
                  </w14:solidFill>
                </w14:textFill>
              </w:rPr>
            </w:pPr>
          </w:p>
        </w:tc>
        <w:tc>
          <w:tcPr>
            <w:tcW w:w="3353" w:type="dxa"/>
          </w:tcPr>
          <w:p w14:paraId="7C88B027">
            <w:pPr>
              <w:pStyle w:val="17"/>
              <w:spacing w:line="600" w:lineRule="exact"/>
              <w:rPr>
                <w:rFonts w:hAnsi="宋体" w:eastAsia="宋体"/>
                <w:color w:val="000000" w:themeColor="text1"/>
                <w:sz w:val="24"/>
                <w:szCs w:val="24"/>
                <w14:textFill>
                  <w14:solidFill>
                    <w14:schemeClr w14:val="tx1"/>
                  </w14:solidFill>
                </w14:textFill>
              </w:rPr>
            </w:pPr>
          </w:p>
        </w:tc>
        <w:tc>
          <w:tcPr>
            <w:tcW w:w="2851" w:type="dxa"/>
          </w:tcPr>
          <w:p w14:paraId="7B789D64">
            <w:pPr>
              <w:pStyle w:val="17"/>
              <w:spacing w:line="600" w:lineRule="exact"/>
              <w:rPr>
                <w:rFonts w:hAnsi="宋体" w:eastAsia="宋体"/>
                <w:color w:val="000000" w:themeColor="text1"/>
                <w:sz w:val="24"/>
                <w:szCs w:val="24"/>
                <w14:textFill>
                  <w14:solidFill>
                    <w14:schemeClr w14:val="tx1"/>
                  </w14:solidFill>
                </w14:textFill>
              </w:rPr>
            </w:pPr>
          </w:p>
        </w:tc>
        <w:tc>
          <w:tcPr>
            <w:tcW w:w="1649" w:type="dxa"/>
          </w:tcPr>
          <w:p w14:paraId="1DFD2852">
            <w:pPr>
              <w:pStyle w:val="17"/>
              <w:spacing w:line="600" w:lineRule="exact"/>
              <w:rPr>
                <w:rFonts w:hAnsi="宋体" w:eastAsia="宋体"/>
                <w:color w:val="000000" w:themeColor="text1"/>
                <w:sz w:val="24"/>
                <w:szCs w:val="24"/>
                <w14:textFill>
                  <w14:solidFill>
                    <w14:schemeClr w14:val="tx1"/>
                  </w14:solidFill>
                </w14:textFill>
              </w:rPr>
            </w:pPr>
          </w:p>
        </w:tc>
      </w:tr>
    </w:tbl>
    <w:p w14:paraId="6F7EDD36">
      <w:pPr>
        <w:pStyle w:val="17"/>
        <w:spacing w:line="360" w:lineRule="auto"/>
        <w:ind w:firstLine="480" w:firstLineChars="200"/>
        <w:rPr>
          <w:rFonts w:hint="eastAsia"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说明：</w:t>
      </w:r>
    </w:p>
    <w:p w14:paraId="7CB419B3">
      <w:pPr>
        <w:pStyle w:val="17"/>
        <w:spacing w:line="360" w:lineRule="auto"/>
        <w:ind w:firstLine="480" w:firstLineChars="200"/>
        <w:rPr>
          <w:rFonts w:hint="eastAsia" w:hAnsi="宋体"/>
          <w:color w:val="000000" w:themeColor="text1"/>
          <w:sz w:val="24"/>
          <w:szCs w:val="24"/>
          <w:lang w:val="zh-CN"/>
          <w14:textFill>
            <w14:solidFill>
              <w14:schemeClr w14:val="tx1"/>
            </w14:solidFill>
          </w14:textFill>
        </w:rPr>
      </w:pPr>
      <w:r>
        <w:rPr>
          <w:rFonts w:hint="eastAsia" w:hAnsi="宋体"/>
          <w:color w:val="000000" w:themeColor="text1"/>
          <w:sz w:val="24"/>
          <w:szCs w:val="24"/>
          <w14:textFill>
            <w14:solidFill>
              <w14:schemeClr w14:val="tx1"/>
            </w14:solidFill>
          </w14:textFill>
        </w:rPr>
        <w:t>1.</w:t>
      </w:r>
      <w:r>
        <w:rPr>
          <w:rFonts w:hint="eastAsia" w:hAnsi="宋体"/>
          <w:color w:val="000000" w:themeColor="text1"/>
          <w:sz w:val="24"/>
          <w:szCs w:val="24"/>
          <w:lang w:eastAsia="zh-CN"/>
          <w14:textFill>
            <w14:solidFill>
              <w14:schemeClr w14:val="tx1"/>
            </w14:solidFill>
          </w14:textFill>
        </w:rPr>
        <w:t>供应商</w:t>
      </w:r>
      <w:r>
        <w:rPr>
          <w:rFonts w:hint="eastAsia" w:hAnsi="宋体"/>
          <w:color w:val="000000" w:themeColor="text1"/>
          <w:sz w:val="24"/>
          <w:szCs w:val="24"/>
          <w14:textFill>
            <w14:solidFill>
              <w14:schemeClr w14:val="tx1"/>
            </w14:solidFill>
          </w14:textFill>
        </w:rPr>
        <w:t>需</w:t>
      </w:r>
      <w:r>
        <w:rPr>
          <w:rFonts w:hint="eastAsia" w:hAnsi="宋体"/>
          <w:color w:val="000000" w:themeColor="text1"/>
          <w:sz w:val="24"/>
          <w:szCs w:val="24"/>
          <w:lang w:val="zh-CN"/>
          <w14:textFill>
            <w14:solidFill>
              <w14:schemeClr w14:val="tx1"/>
            </w14:solidFill>
          </w14:textFill>
        </w:rPr>
        <w:t>按磋商文件要求，逐条对</w:t>
      </w:r>
      <w:r>
        <w:rPr>
          <w:rFonts w:hint="eastAsia" w:hAnsi="宋体"/>
          <w:color w:val="000000" w:themeColor="text1"/>
          <w:sz w:val="24"/>
          <w:szCs w:val="24"/>
          <w:lang w:eastAsia="zh-CN"/>
          <w14:textFill>
            <w14:solidFill>
              <w14:schemeClr w14:val="tx1"/>
            </w14:solidFill>
          </w14:textFill>
        </w:rPr>
        <w:t>响应文件</w:t>
      </w:r>
      <w:r>
        <w:rPr>
          <w:rFonts w:hint="eastAsia" w:hAnsi="宋体"/>
          <w:color w:val="000000" w:themeColor="text1"/>
          <w:sz w:val="24"/>
          <w:szCs w:val="24"/>
          <w:lang w:val="zh-CN"/>
          <w14:textFill>
            <w14:solidFill>
              <w14:schemeClr w14:val="tx1"/>
            </w14:solidFill>
          </w14:textFill>
        </w:rPr>
        <w:t>实际技术规格的要求</w:t>
      </w:r>
      <w:r>
        <w:rPr>
          <w:rFonts w:hint="eastAsia" w:hAnsi="宋体"/>
          <w:color w:val="000000" w:themeColor="text1"/>
          <w:sz w:val="24"/>
          <w:szCs w:val="24"/>
          <w14:textFill>
            <w14:solidFill>
              <w14:schemeClr w14:val="tx1"/>
            </w14:solidFill>
          </w14:textFill>
        </w:rPr>
        <w:t>进行填写</w:t>
      </w:r>
      <w:r>
        <w:rPr>
          <w:rFonts w:hint="eastAsia" w:hAnsi="宋体"/>
          <w:color w:val="000000" w:themeColor="text1"/>
          <w:sz w:val="24"/>
          <w:szCs w:val="24"/>
          <w:lang w:val="zh-CN"/>
          <w14:textFill>
            <w14:solidFill>
              <w14:schemeClr w14:val="tx1"/>
            </w14:solidFill>
          </w14:textFill>
        </w:rPr>
        <w:t>。如有漏报、瞒报磋商文件所要求的性能指标等将视为没有实质性响应磋商文件。不得直接将磋商文件技术规格需求完全复制作为响应文件的响应内容，</w:t>
      </w:r>
      <w:r>
        <w:rPr>
          <w:rFonts w:hint="eastAsia" w:hAnsi="宋体"/>
          <w:color w:val="000000" w:themeColor="text1"/>
          <w:sz w:val="24"/>
          <w:szCs w:val="24"/>
          <w14:textFill>
            <w14:solidFill>
              <w14:schemeClr w14:val="tx1"/>
            </w14:solidFill>
          </w14:textFill>
        </w:rPr>
        <w:t>后附产品参数证明资料。</w:t>
      </w:r>
    </w:p>
    <w:p w14:paraId="37CB074F">
      <w:pPr>
        <w:pStyle w:val="17"/>
        <w:spacing w:line="360" w:lineRule="auto"/>
        <w:ind w:firstLine="480" w:firstLineChars="200"/>
        <w:rPr>
          <w:rFonts w:hint="eastAsia"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2.须在“说明”栏进行明确说明偏离情况，且偏离情况与实际相符。</w:t>
      </w:r>
    </w:p>
    <w:p w14:paraId="7583342C">
      <w:pPr>
        <w:pStyle w:val="17"/>
        <w:spacing w:line="360" w:lineRule="auto"/>
        <w:ind w:firstLine="480" w:firstLineChars="200"/>
        <w:rPr>
          <w:rFonts w:hint="eastAsia" w:hAnsi="宋体"/>
          <w:color w:val="000000" w:themeColor="text1"/>
          <w:sz w:val="24"/>
          <w:szCs w:val="24"/>
          <w:lang w:eastAsia="zh-CN"/>
          <w14:textFill>
            <w14:solidFill>
              <w14:schemeClr w14:val="tx1"/>
            </w14:solidFill>
          </w14:textFill>
        </w:rPr>
      </w:pPr>
      <w:r>
        <w:rPr>
          <w:rFonts w:hint="eastAsia" w:hAnsi="宋体"/>
          <w:color w:val="000000" w:themeColor="text1"/>
          <w:sz w:val="24"/>
          <w:szCs w:val="24"/>
          <w14:textFill>
            <w14:solidFill>
              <w14:schemeClr w14:val="tx1"/>
            </w14:solidFill>
          </w14:textFill>
        </w:rPr>
        <w:t>3.须后附能够反映相应</w:t>
      </w:r>
      <w:r>
        <w:rPr>
          <w:rFonts w:hint="eastAsia" w:hAnsi="宋体"/>
          <w:color w:val="000000" w:themeColor="text1"/>
          <w:sz w:val="24"/>
          <w:szCs w:val="24"/>
          <w:lang w:val="zh-CN"/>
          <w14:textFill>
            <w14:solidFill>
              <w14:schemeClr w14:val="tx1"/>
            </w14:solidFill>
          </w14:textFill>
        </w:rPr>
        <w:t>技术规格</w:t>
      </w:r>
      <w:r>
        <w:rPr>
          <w:rFonts w:hint="eastAsia" w:hAnsi="宋体"/>
          <w:color w:val="000000" w:themeColor="text1"/>
          <w:sz w:val="24"/>
          <w:szCs w:val="24"/>
          <w14:textFill>
            <w14:solidFill>
              <w14:schemeClr w14:val="tx1"/>
            </w14:solidFill>
          </w14:textFill>
        </w:rPr>
        <w:t>的证明材料</w:t>
      </w:r>
      <w:r>
        <w:rPr>
          <w:rFonts w:hint="eastAsia" w:hAnsi="宋体"/>
          <w:color w:val="000000" w:themeColor="text1"/>
          <w:sz w:val="24"/>
          <w:szCs w:val="24"/>
          <w:lang w:eastAsia="zh-CN"/>
          <w14:textFill>
            <w14:solidFill>
              <w14:schemeClr w14:val="tx1"/>
            </w14:solidFill>
          </w14:textFill>
        </w:rPr>
        <w:t>。</w:t>
      </w:r>
    </w:p>
    <w:p w14:paraId="0A827696">
      <w:pPr>
        <w:pStyle w:val="17"/>
        <w:spacing w:line="360" w:lineRule="auto"/>
        <w:ind w:firstLine="480" w:firstLineChars="200"/>
        <w:rPr>
          <w:rFonts w:hint="default" w:hAnsi="宋体" w:eastAsiaTheme="minorEastAsia"/>
          <w:color w:val="000000" w:themeColor="text1"/>
          <w:szCs w:val="24"/>
          <w:lang w:val="en-US" w:eastAsia="zh-CN"/>
          <w14:textFill>
            <w14:solidFill>
              <w14:schemeClr w14:val="tx1"/>
            </w14:solidFill>
          </w14:textFill>
        </w:rPr>
      </w:pPr>
      <w:r>
        <w:rPr>
          <w:rFonts w:hint="eastAsia" w:hAnsi="宋体"/>
          <w:color w:val="000000" w:themeColor="text1"/>
          <w:sz w:val="24"/>
          <w:szCs w:val="24"/>
          <w14:textFill>
            <w14:solidFill>
              <w14:schemeClr w14:val="tx1"/>
            </w14:solidFill>
          </w14:textFill>
        </w:rPr>
        <w:t>4.凡是</w:t>
      </w:r>
      <w:r>
        <w:rPr>
          <w:rFonts w:hint="eastAsia" w:hAnsi="宋体"/>
          <w:color w:val="000000" w:themeColor="text1"/>
          <w:sz w:val="24"/>
          <w:szCs w:val="24"/>
          <w:lang w:eastAsia="zh-CN"/>
          <w14:textFill>
            <w14:solidFill>
              <w14:schemeClr w14:val="tx1"/>
            </w14:solidFill>
          </w14:textFill>
        </w:rPr>
        <w:t>响应文件</w:t>
      </w:r>
      <w:r>
        <w:rPr>
          <w:rFonts w:hint="eastAsia" w:hAnsi="宋体"/>
          <w:color w:val="000000" w:themeColor="text1"/>
          <w:sz w:val="24"/>
          <w:szCs w:val="24"/>
          <w14:textFill>
            <w14:solidFill>
              <w14:schemeClr w14:val="tx1"/>
            </w14:solidFill>
          </w14:textFill>
        </w:rPr>
        <w:t>的技术要求与</w:t>
      </w:r>
      <w:r>
        <w:rPr>
          <w:rFonts w:hint="eastAsia" w:hAnsi="宋体"/>
          <w:color w:val="000000" w:themeColor="text1"/>
          <w:sz w:val="24"/>
          <w:szCs w:val="24"/>
          <w:lang w:eastAsia="zh-CN"/>
          <w14:textFill>
            <w14:solidFill>
              <w14:schemeClr w14:val="tx1"/>
            </w14:solidFill>
          </w14:textFill>
        </w:rPr>
        <w:t>磋商文件</w:t>
      </w:r>
      <w:r>
        <w:rPr>
          <w:rFonts w:hint="eastAsia" w:hAnsi="宋体"/>
          <w:color w:val="000000" w:themeColor="text1"/>
          <w:sz w:val="24"/>
          <w:szCs w:val="24"/>
          <w14:textFill>
            <w14:solidFill>
              <w14:schemeClr w14:val="tx1"/>
            </w14:solidFill>
          </w14:textFill>
        </w:rPr>
        <w:t>的技术要求之间存在负偏离（即不能满足</w:t>
      </w:r>
      <w:r>
        <w:rPr>
          <w:rFonts w:hint="eastAsia" w:hAnsi="宋体"/>
          <w:color w:val="000000" w:themeColor="text1"/>
          <w:sz w:val="24"/>
          <w:szCs w:val="24"/>
          <w:lang w:eastAsia="zh-CN"/>
          <w14:textFill>
            <w14:solidFill>
              <w14:schemeClr w14:val="tx1"/>
            </w14:solidFill>
          </w14:textFill>
        </w:rPr>
        <w:t>磋商文件</w:t>
      </w:r>
      <w:r>
        <w:rPr>
          <w:rFonts w:hint="eastAsia" w:hAnsi="宋体"/>
          <w:color w:val="000000" w:themeColor="text1"/>
          <w:sz w:val="24"/>
          <w:szCs w:val="24"/>
          <w14:textFill>
            <w14:solidFill>
              <w14:schemeClr w14:val="tx1"/>
            </w14:solidFill>
          </w14:textFill>
        </w:rPr>
        <w:t>要求的）按废标处理。</w:t>
      </w:r>
    </w:p>
    <w:p w14:paraId="2332797F">
      <w:pPr>
        <w:spacing w:line="360" w:lineRule="auto"/>
        <w:rPr>
          <w:rFonts w:asciiTheme="minorEastAsia" w:hAnsiTheme="minorEastAsia" w:cstheme="minorEastAsia"/>
          <w:sz w:val="24"/>
        </w:rPr>
      </w:pPr>
      <w:r>
        <w:rPr>
          <w:rFonts w:hint="eastAsia" w:ascii="新宋体" w:hAnsi="新宋体" w:eastAsia="新宋体" w:cs="新宋体"/>
          <w:sz w:val="24"/>
          <w:lang w:val="zh-CN"/>
        </w:rPr>
        <w:t>供应商</w:t>
      </w:r>
      <w:r>
        <w:rPr>
          <w:rFonts w:hint="eastAsia" w:ascii="新宋体" w:hAnsi="新宋体" w:eastAsia="新宋体" w:cs="新宋体"/>
          <w:sz w:val="24"/>
        </w:rPr>
        <w:t>名称</w:t>
      </w:r>
      <w:r>
        <w:rPr>
          <w:rFonts w:hint="eastAsia" w:asciiTheme="minorEastAsia" w:hAnsiTheme="minorEastAsia" w:cstheme="minorEastAsia"/>
          <w:sz w:val="24"/>
        </w:rPr>
        <w:t>：</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（盖章） </w:t>
      </w:r>
    </w:p>
    <w:p w14:paraId="1C81A3C4">
      <w:pPr>
        <w:spacing w:line="360" w:lineRule="auto"/>
        <w:rPr>
          <w:rFonts w:asciiTheme="minorEastAsia" w:hAnsiTheme="minorEastAsia" w:cstheme="minorEastAsia"/>
          <w:sz w:val="24"/>
          <w:u w:val="single"/>
        </w:rPr>
      </w:pPr>
      <w:r>
        <w:rPr>
          <w:rFonts w:hint="eastAsia" w:asciiTheme="minorEastAsia" w:hAnsiTheme="minorEastAsia" w:cstheme="minorEastAsia"/>
          <w:sz w:val="24"/>
        </w:rPr>
        <w:t>法定代表人或授权代表（签字或盖章）：</w:t>
      </w:r>
      <w:r>
        <w:rPr>
          <w:rFonts w:hint="eastAsia" w:asciiTheme="minorEastAsia" w:hAnsiTheme="minorEastAsia" w:cstheme="minorEastAsia"/>
          <w:sz w:val="24"/>
          <w:u w:val="single"/>
        </w:rPr>
        <w:t xml:space="preserve">       </w:t>
      </w:r>
    </w:p>
    <w:p w14:paraId="48452306">
      <w:pPr>
        <w:spacing w:line="360" w:lineRule="auto"/>
        <w:rPr>
          <w:rFonts w:hint="eastAsia" w:asciiTheme="minorEastAsia" w:hAnsiTheme="minorEastAsia" w:cstheme="minorEastAsia"/>
          <w:b/>
          <w:color w:val="000000" w:themeColor="text1"/>
          <w14:textFill>
            <w14:solidFill>
              <w14:schemeClr w14:val="tx1"/>
            </w14:solidFill>
          </w14:textFill>
        </w:rPr>
      </w:pPr>
      <w:r>
        <w:rPr>
          <w:rFonts w:hint="eastAsia" w:asciiTheme="minorEastAsia" w:hAnsiTheme="minorEastAsia" w:cstheme="minorEastAsia"/>
          <w:sz w:val="24"/>
        </w:rPr>
        <w:t>日 期：</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14:textFill>
            <w14:solidFill>
              <w14:schemeClr w14:val="tx1"/>
            </w14:solidFill>
          </w14:textFill>
        </w:rPr>
        <w:t>年</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14:textFill>
            <w14:solidFill>
              <w14:schemeClr w14:val="tx1"/>
            </w14:solidFill>
          </w14:textFill>
        </w:rPr>
        <w:t>月</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14:textFill>
            <w14:solidFill>
              <w14:schemeClr w14:val="tx1"/>
            </w14:solidFill>
          </w14:textFill>
        </w:rPr>
        <w:t>日</w:t>
      </w:r>
    </w:p>
    <w:p w14:paraId="7BE73F2A">
      <w:pPr>
        <w:numPr>
          <w:ilvl w:val="0"/>
          <w:numId w:val="0"/>
        </w:numPr>
        <w:spacing w:line="360" w:lineRule="auto"/>
        <w:jc w:val="center"/>
        <w:rPr>
          <w:rFonts w:hint="eastAsia" w:asciiTheme="minorEastAsia" w:hAnsiTheme="minorEastAsia" w:cstheme="minorEastAsia"/>
          <w:b/>
          <w:color w:val="auto"/>
          <w:kern w:val="0"/>
          <w:sz w:val="28"/>
          <w:highlight w:val="none"/>
          <w:lang w:val="en-US" w:eastAsia="zh-CN"/>
        </w:rPr>
      </w:pPr>
    </w:p>
    <w:p w14:paraId="25A2CF58">
      <w:pPr>
        <w:numPr>
          <w:ilvl w:val="0"/>
          <w:numId w:val="0"/>
        </w:numPr>
        <w:spacing w:line="360" w:lineRule="auto"/>
        <w:jc w:val="center"/>
        <w:rPr>
          <w:rFonts w:ascii="宋体" w:hAnsi="宋体" w:eastAsia="宋体" w:cs="宋体"/>
          <w:highlight w:val="none"/>
        </w:rPr>
      </w:pPr>
      <w:r>
        <w:rPr>
          <w:rFonts w:hint="eastAsia" w:asciiTheme="minorEastAsia" w:hAnsiTheme="minorEastAsia" w:cstheme="minorEastAsia"/>
          <w:b/>
          <w:color w:val="auto"/>
          <w:kern w:val="0"/>
          <w:sz w:val="28"/>
          <w:highlight w:val="none"/>
          <w:lang w:val="en-US" w:eastAsia="zh-CN"/>
        </w:rPr>
        <w:t>4.商务条款偏离表</w:t>
      </w:r>
    </w:p>
    <w:p w14:paraId="2E8845CF">
      <w:pPr>
        <w:tabs>
          <w:tab w:val="left" w:pos="7920"/>
        </w:tabs>
        <w:kinsoku w:val="0"/>
        <w:spacing w:line="50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 xml:space="preserve">项目名称：                                          </w:t>
      </w:r>
      <w:r>
        <w:rPr>
          <w:rFonts w:hint="eastAsia" w:ascii="宋体" w:hAnsi="宋体" w:eastAsia="宋体" w:cs="宋体"/>
          <w:color w:val="000000"/>
          <w:szCs w:val="24"/>
          <w:highlight w:val="none"/>
        </w:rPr>
        <w:tab/>
      </w:r>
    </w:p>
    <w:p w14:paraId="26F4D450">
      <w:pPr>
        <w:kinsoku w:val="0"/>
        <w:spacing w:line="500" w:lineRule="exact"/>
        <w:ind w:left="-137" w:leftChars="-57" w:firstLine="120" w:firstLineChars="50"/>
        <w:rPr>
          <w:rFonts w:ascii="宋体" w:hAnsi="宋体" w:eastAsia="宋体" w:cs="宋体"/>
          <w:color w:val="000000"/>
          <w:szCs w:val="24"/>
          <w:highlight w:val="none"/>
        </w:rPr>
      </w:pPr>
      <w:r>
        <w:rPr>
          <w:rFonts w:hint="eastAsia" w:ascii="宋体" w:hAnsi="宋体" w:eastAsia="宋体" w:cs="宋体"/>
          <w:color w:val="000000"/>
          <w:szCs w:val="24"/>
          <w:highlight w:val="none"/>
        </w:rPr>
        <w:t>项目编号：                                        共   页，第   页</w:t>
      </w:r>
    </w:p>
    <w:tbl>
      <w:tblPr>
        <w:tblStyle w:val="37"/>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2"/>
        <w:gridCol w:w="2758"/>
        <w:gridCol w:w="2171"/>
        <w:gridCol w:w="1255"/>
      </w:tblGrid>
      <w:tr w14:paraId="3EC4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11" w:type="dxa"/>
            <w:vAlign w:val="center"/>
          </w:tcPr>
          <w:p w14:paraId="2AE91169">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序号</w:t>
            </w:r>
          </w:p>
        </w:tc>
        <w:tc>
          <w:tcPr>
            <w:tcW w:w="1962" w:type="dxa"/>
            <w:vAlign w:val="center"/>
          </w:tcPr>
          <w:p w14:paraId="5377D79B">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名称</w:t>
            </w:r>
          </w:p>
        </w:tc>
        <w:tc>
          <w:tcPr>
            <w:tcW w:w="2758" w:type="dxa"/>
            <w:vAlign w:val="center"/>
          </w:tcPr>
          <w:p w14:paraId="731145DF">
            <w:pPr>
              <w:pStyle w:val="17"/>
              <w:spacing w:line="400" w:lineRule="exact"/>
              <w:rPr>
                <w:rFonts w:hAnsi="宋体" w:eastAsia="宋体" w:cs="宋体"/>
                <w:color w:val="000000"/>
                <w:szCs w:val="24"/>
                <w:highlight w:val="none"/>
              </w:rPr>
            </w:pPr>
            <w:r>
              <w:rPr>
                <w:rFonts w:hint="eastAsia" w:hAnsi="宋体" w:eastAsia="宋体" w:cs="宋体"/>
                <w:color w:val="000000"/>
                <w:szCs w:val="24"/>
                <w:highlight w:val="none"/>
              </w:rPr>
              <w:t>磋商文件要求商务条款</w:t>
            </w:r>
          </w:p>
        </w:tc>
        <w:tc>
          <w:tcPr>
            <w:tcW w:w="2171" w:type="dxa"/>
            <w:vAlign w:val="center"/>
          </w:tcPr>
          <w:p w14:paraId="68815C25">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磋商</w:t>
            </w:r>
            <w:r>
              <w:rPr>
                <w:rFonts w:hint="eastAsia" w:hAnsi="宋体" w:eastAsia="宋体" w:cs="宋体"/>
                <w:color w:val="000000"/>
                <w:szCs w:val="24"/>
                <w:highlight w:val="none"/>
                <w:lang w:val="en-US" w:eastAsia="zh-CN"/>
              </w:rPr>
              <w:t>响</w:t>
            </w:r>
            <w:r>
              <w:rPr>
                <w:rFonts w:hint="eastAsia" w:hAnsi="宋体" w:eastAsia="宋体" w:cs="宋体"/>
                <w:color w:val="000000"/>
                <w:szCs w:val="24"/>
                <w:highlight w:val="none"/>
              </w:rPr>
              <w:t>应商务条款</w:t>
            </w:r>
          </w:p>
        </w:tc>
        <w:tc>
          <w:tcPr>
            <w:tcW w:w="1255" w:type="dxa"/>
            <w:vAlign w:val="center"/>
          </w:tcPr>
          <w:p w14:paraId="7FA447A0">
            <w:pPr>
              <w:pStyle w:val="17"/>
              <w:spacing w:line="400" w:lineRule="exact"/>
              <w:jc w:val="center"/>
              <w:rPr>
                <w:rFonts w:hAnsi="宋体" w:eastAsia="宋体" w:cs="宋体"/>
                <w:color w:val="000000"/>
                <w:szCs w:val="24"/>
                <w:highlight w:val="none"/>
              </w:rPr>
            </w:pPr>
            <w:r>
              <w:rPr>
                <w:rFonts w:hint="eastAsia" w:hAnsi="宋体" w:eastAsia="宋体" w:cs="宋体"/>
                <w:color w:val="000000"/>
                <w:szCs w:val="24"/>
                <w:highlight w:val="none"/>
              </w:rPr>
              <w:t>偏差说明</w:t>
            </w:r>
          </w:p>
        </w:tc>
      </w:tr>
      <w:tr w14:paraId="2F1E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6F6AF5EE">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14C0EF65">
            <w:pPr>
              <w:pStyle w:val="17"/>
              <w:spacing w:line="400" w:lineRule="exact"/>
              <w:jc w:val="center"/>
              <w:rPr>
                <w:rFonts w:hAnsi="宋体" w:eastAsia="宋体" w:cs="宋体"/>
                <w:color w:val="000000"/>
                <w:szCs w:val="24"/>
                <w:highlight w:val="none"/>
              </w:rPr>
            </w:pPr>
          </w:p>
        </w:tc>
        <w:tc>
          <w:tcPr>
            <w:tcW w:w="2758" w:type="dxa"/>
            <w:vAlign w:val="center"/>
          </w:tcPr>
          <w:p w14:paraId="3614ECB8">
            <w:pPr>
              <w:pStyle w:val="17"/>
              <w:spacing w:line="600" w:lineRule="exact"/>
              <w:rPr>
                <w:rFonts w:hAnsi="宋体" w:eastAsia="宋体" w:cs="宋体"/>
                <w:color w:val="000000"/>
                <w:szCs w:val="24"/>
                <w:highlight w:val="none"/>
              </w:rPr>
            </w:pPr>
          </w:p>
        </w:tc>
        <w:tc>
          <w:tcPr>
            <w:tcW w:w="2171" w:type="dxa"/>
            <w:vAlign w:val="center"/>
          </w:tcPr>
          <w:p w14:paraId="0455919D">
            <w:pPr>
              <w:pStyle w:val="17"/>
              <w:spacing w:line="600" w:lineRule="exact"/>
              <w:rPr>
                <w:rFonts w:hAnsi="宋体" w:eastAsia="宋体" w:cs="宋体"/>
                <w:color w:val="000000"/>
                <w:szCs w:val="24"/>
                <w:highlight w:val="none"/>
              </w:rPr>
            </w:pPr>
          </w:p>
        </w:tc>
        <w:tc>
          <w:tcPr>
            <w:tcW w:w="1255" w:type="dxa"/>
            <w:vAlign w:val="center"/>
          </w:tcPr>
          <w:p w14:paraId="039C8B5C">
            <w:pPr>
              <w:pStyle w:val="17"/>
              <w:spacing w:line="600" w:lineRule="exact"/>
              <w:rPr>
                <w:rFonts w:hAnsi="宋体" w:eastAsia="宋体" w:cs="宋体"/>
                <w:color w:val="000000"/>
                <w:szCs w:val="24"/>
                <w:highlight w:val="none"/>
              </w:rPr>
            </w:pPr>
          </w:p>
        </w:tc>
      </w:tr>
      <w:tr w14:paraId="3B7F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5182BFED">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30FDE904">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1E91DC09">
            <w:pPr>
              <w:pStyle w:val="17"/>
              <w:spacing w:line="600" w:lineRule="exact"/>
              <w:rPr>
                <w:rFonts w:hAnsi="宋体" w:eastAsia="宋体" w:cs="宋体"/>
                <w:color w:val="000000"/>
                <w:szCs w:val="24"/>
                <w:highlight w:val="none"/>
              </w:rPr>
            </w:pPr>
          </w:p>
        </w:tc>
        <w:tc>
          <w:tcPr>
            <w:tcW w:w="2171" w:type="dxa"/>
          </w:tcPr>
          <w:p w14:paraId="75BB5192">
            <w:pPr>
              <w:pStyle w:val="17"/>
              <w:spacing w:line="600" w:lineRule="exact"/>
              <w:rPr>
                <w:rFonts w:hAnsi="宋体" w:eastAsia="宋体" w:cs="宋体"/>
                <w:color w:val="000000"/>
                <w:szCs w:val="24"/>
                <w:highlight w:val="none"/>
              </w:rPr>
            </w:pPr>
          </w:p>
        </w:tc>
        <w:tc>
          <w:tcPr>
            <w:tcW w:w="1255" w:type="dxa"/>
          </w:tcPr>
          <w:p w14:paraId="1440D30A">
            <w:pPr>
              <w:pStyle w:val="17"/>
              <w:spacing w:line="600" w:lineRule="exact"/>
              <w:rPr>
                <w:rFonts w:hAnsi="宋体" w:eastAsia="宋体" w:cs="宋体"/>
                <w:color w:val="000000"/>
                <w:szCs w:val="24"/>
                <w:highlight w:val="none"/>
              </w:rPr>
            </w:pPr>
          </w:p>
        </w:tc>
      </w:tr>
      <w:tr w14:paraId="4415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center"/>
          </w:tcPr>
          <w:p w14:paraId="0D52393D">
            <w:pPr>
              <w:pStyle w:val="17"/>
              <w:spacing w:line="600" w:lineRule="exact"/>
              <w:jc w:val="center"/>
              <w:rPr>
                <w:rFonts w:hint="eastAsia" w:hAnsi="宋体" w:eastAsia="宋体" w:cs="宋体"/>
                <w:color w:val="000000"/>
                <w:szCs w:val="24"/>
                <w:highlight w:val="none"/>
                <w:lang w:val="en-US" w:eastAsia="zh-CN"/>
              </w:rPr>
            </w:pPr>
          </w:p>
        </w:tc>
        <w:tc>
          <w:tcPr>
            <w:tcW w:w="1962" w:type="dxa"/>
            <w:vAlign w:val="center"/>
          </w:tcPr>
          <w:p w14:paraId="4FC48D17">
            <w:pPr>
              <w:pStyle w:val="17"/>
              <w:spacing w:line="600" w:lineRule="exact"/>
              <w:jc w:val="center"/>
              <w:rPr>
                <w:rFonts w:hint="eastAsia" w:hAnsi="宋体" w:eastAsia="宋体" w:cs="宋体"/>
                <w:color w:val="000000"/>
                <w:szCs w:val="24"/>
                <w:highlight w:val="none"/>
                <w:lang w:val="en-US" w:eastAsia="zh-CN"/>
              </w:rPr>
            </w:pPr>
          </w:p>
        </w:tc>
        <w:tc>
          <w:tcPr>
            <w:tcW w:w="2758" w:type="dxa"/>
          </w:tcPr>
          <w:p w14:paraId="4A549148">
            <w:pPr>
              <w:pStyle w:val="17"/>
              <w:spacing w:line="600" w:lineRule="exact"/>
              <w:rPr>
                <w:rFonts w:hAnsi="宋体" w:eastAsia="宋体" w:cs="宋体"/>
                <w:color w:val="000000"/>
                <w:szCs w:val="24"/>
                <w:highlight w:val="none"/>
              </w:rPr>
            </w:pPr>
          </w:p>
        </w:tc>
        <w:tc>
          <w:tcPr>
            <w:tcW w:w="2171" w:type="dxa"/>
          </w:tcPr>
          <w:p w14:paraId="458CA10F">
            <w:pPr>
              <w:pStyle w:val="17"/>
              <w:spacing w:line="600" w:lineRule="exact"/>
              <w:rPr>
                <w:rFonts w:hAnsi="宋体" w:eastAsia="宋体" w:cs="宋体"/>
                <w:color w:val="000000"/>
                <w:szCs w:val="24"/>
                <w:highlight w:val="none"/>
              </w:rPr>
            </w:pPr>
          </w:p>
        </w:tc>
        <w:tc>
          <w:tcPr>
            <w:tcW w:w="1255" w:type="dxa"/>
          </w:tcPr>
          <w:p w14:paraId="7EEDF356">
            <w:pPr>
              <w:pStyle w:val="17"/>
              <w:spacing w:line="600" w:lineRule="exact"/>
              <w:rPr>
                <w:rFonts w:hAnsi="宋体" w:eastAsia="宋体" w:cs="宋体"/>
                <w:color w:val="000000"/>
                <w:szCs w:val="24"/>
                <w:highlight w:val="none"/>
              </w:rPr>
            </w:pPr>
          </w:p>
        </w:tc>
      </w:tr>
      <w:tr w14:paraId="2D86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08900BF9">
            <w:pPr>
              <w:pStyle w:val="17"/>
              <w:spacing w:line="600" w:lineRule="exact"/>
              <w:jc w:val="center"/>
              <w:rPr>
                <w:rFonts w:hint="eastAsia" w:hAnsi="宋体" w:eastAsia="宋体" w:cs="宋体"/>
                <w:color w:val="000000"/>
                <w:szCs w:val="24"/>
                <w:highlight w:val="none"/>
                <w:lang w:val="en-US" w:eastAsia="zh-CN"/>
              </w:rPr>
            </w:pPr>
          </w:p>
        </w:tc>
        <w:tc>
          <w:tcPr>
            <w:tcW w:w="1962" w:type="dxa"/>
          </w:tcPr>
          <w:p w14:paraId="00555256">
            <w:pPr>
              <w:pStyle w:val="17"/>
              <w:spacing w:line="600" w:lineRule="exact"/>
              <w:jc w:val="center"/>
              <w:rPr>
                <w:rFonts w:hint="default" w:hAnsi="宋体" w:eastAsia="宋体" w:cs="宋体"/>
                <w:color w:val="000000"/>
                <w:szCs w:val="24"/>
                <w:highlight w:val="none"/>
                <w:lang w:val="en-US" w:eastAsia="zh-CN"/>
              </w:rPr>
            </w:pPr>
          </w:p>
        </w:tc>
        <w:tc>
          <w:tcPr>
            <w:tcW w:w="2758" w:type="dxa"/>
          </w:tcPr>
          <w:p w14:paraId="075F3A15">
            <w:pPr>
              <w:pStyle w:val="17"/>
              <w:spacing w:line="600" w:lineRule="exact"/>
              <w:rPr>
                <w:rFonts w:hAnsi="宋体" w:eastAsia="宋体" w:cs="宋体"/>
                <w:color w:val="000000"/>
                <w:szCs w:val="24"/>
                <w:highlight w:val="none"/>
              </w:rPr>
            </w:pPr>
          </w:p>
        </w:tc>
        <w:tc>
          <w:tcPr>
            <w:tcW w:w="2171" w:type="dxa"/>
          </w:tcPr>
          <w:p w14:paraId="7C68980A">
            <w:pPr>
              <w:pStyle w:val="17"/>
              <w:spacing w:line="600" w:lineRule="exact"/>
              <w:rPr>
                <w:rFonts w:hAnsi="宋体" w:eastAsia="宋体" w:cs="宋体"/>
                <w:color w:val="000000"/>
                <w:szCs w:val="24"/>
                <w:highlight w:val="none"/>
              </w:rPr>
            </w:pPr>
          </w:p>
        </w:tc>
        <w:tc>
          <w:tcPr>
            <w:tcW w:w="1255" w:type="dxa"/>
          </w:tcPr>
          <w:p w14:paraId="096954E2">
            <w:pPr>
              <w:pStyle w:val="17"/>
              <w:spacing w:line="600" w:lineRule="exact"/>
              <w:rPr>
                <w:rFonts w:hAnsi="宋体" w:eastAsia="宋体" w:cs="宋体"/>
                <w:color w:val="000000"/>
                <w:szCs w:val="24"/>
                <w:highlight w:val="none"/>
              </w:rPr>
            </w:pPr>
          </w:p>
        </w:tc>
      </w:tr>
      <w:tr w14:paraId="1DE1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vAlign w:val="top"/>
          </w:tcPr>
          <w:p w14:paraId="1EE57A02">
            <w:pPr>
              <w:pStyle w:val="17"/>
              <w:spacing w:line="600" w:lineRule="exact"/>
              <w:jc w:val="center"/>
              <w:rPr>
                <w:rFonts w:hAnsi="宋体" w:eastAsia="宋体" w:cs="宋体"/>
                <w:color w:val="000000"/>
                <w:szCs w:val="24"/>
                <w:highlight w:val="none"/>
              </w:rPr>
            </w:pPr>
          </w:p>
        </w:tc>
        <w:tc>
          <w:tcPr>
            <w:tcW w:w="1962" w:type="dxa"/>
            <w:vAlign w:val="top"/>
          </w:tcPr>
          <w:p w14:paraId="094C41CB">
            <w:pPr>
              <w:pStyle w:val="17"/>
              <w:spacing w:line="600" w:lineRule="exact"/>
              <w:jc w:val="center"/>
              <w:rPr>
                <w:rFonts w:hAnsi="宋体" w:eastAsia="宋体" w:cs="宋体"/>
                <w:color w:val="000000"/>
                <w:szCs w:val="24"/>
                <w:highlight w:val="none"/>
              </w:rPr>
            </w:pPr>
          </w:p>
        </w:tc>
        <w:tc>
          <w:tcPr>
            <w:tcW w:w="2758" w:type="dxa"/>
          </w:tcPr>
          <w:p w14:paraId="200D9BF6">
            <w:pPr>
              <w:pStyle w:val="17"/>
              <w:spacing w:line="600" w:lineRule="exact"/>
              <w:rPr>
                <w:rFonts w:hAnsi="宋体" w:eastAsia="宋体" w:cs="宋体"/>
                <w:color w:val="000000"/>
                <w:szCs w:val="24"/>
                <w:highlight w:val="none"/>
              </w:rPr>
            </w:pPr>
          </w:p>
        </w:tc>
        <w:tc>
          <w:tcPr>
            <w:tcW w:w="2171" w:type="dxa"/>
          </w:tcPr>
          <w:p w14:paraId="6FFACD25">
            <w:pPr>
              <w:pStyle w:val="17"/>
              <w:spacing w:line="600" w:lineRule="exact"/>
              <w:rPr>
                <w:rFonts w:hAnsi="宋体" w:eastAsia="宋体" w:cs="宋体"/>
                <w:color w:val="000000"/>
                <w:szCs w:val="24"/>
                <w:highlight w:val="none"/>
              </w:rPr>
            </w:pPr>
          </w:p>
        </w:tc>
        <w:tc>
          <w:tcPr>
            <w:tcW w:w="1255" w:type="dxa"/>
          </w:tcPr>
          <w:p w14:paraId="670468E7">
            <w:pPr>
              <w:pStyle w:val="17"/>
              <w:spacing w:line="600" w:lineRule="exact"/>
              <w:rPr>
                <w:rFonts w:hAnsi="宋体" w:eastAsia="宋体" w:cs="宋体"/>
                <w:color w:val="000000"/>
                <w:szCs w:val="24"/>
                <w:highlight w:val="none"/>
              </w:rPr>
            </w:pPr>
          </w:p>
        </w:tc>
      </w:tr>
      <w:tr w14:paraId="7AB1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4EC8DD09">
            <w:pPr>
              <w:pStyle w:val="17"/>
              <w:spacing w:line="600" w:lineRule="exact"/>
              <w:rPr>
                <w:rFonts w:hAnsi="宋体" w:eastAsia="宋体" w:cs="宋体"/>
                <w:color w:val="000000"/>
                <w:szCs w:val="24"/>
                <w:highlight w:val="none"/>
              </w:rPr>
            </w:pPr>
          </w:p>
        </w:tc>
        <w:tc>
          <w:tcPr>
            <w:tcW w:w="1962" w:type="dxa"/>
          </w:tcPr>
          <w:p w14:paraId="3712DC80">
            <w:pPr>
              <w:pStyle w:val="17"/>
              <w:spacing w:line="600" w:lineRule="exact"/>
              <w:rPr>
                <w:rFonts w:hAnsi="宋体" w:eastAsia="宋体" w:cs="宋体"/>
                <w:color w:val="000000"/>
                <w:szCs w:val="24"/>
                <w:highlight w:val="none"/>
              </w:rPr>
            </w:pPr>
          </w:p>
        </w:tc>
        <w:tc>
          <w:tcPr>
            <w:tcW w:w="2758" w:type="dxa"/>
          </w:tcPr>
          <w:p w14:paraId="2AF48D2C">
            <w:pPr>
              <w:pStyle w:val="17"/>
              <w:spacing w:line="600" w:lineRule="exact"/>
              <w:rPr>
                <w:rFonts w:hAnsi="宋体" w:eastAsia="宋体" w:cs="宋体"/>
                <w:color w:val="000000"/>
                <w:szCs w:val="24"/>
                <w:highlight w:val="none"/>
              </w:rPr>
            </w:pPr>
          </w:p>
        </w:tc>
        <w:tc>
          <w:tcPr>
            <w:tcW w:w="2171" w:type="dxa"/>
          </w:tcPr>
          <w:p w14:paraId="79AFEC1F">
            <w:pPr>
              <w:pStyle w:val="17"/>
              <w:spacing w:line="600" w:lineRule="exact"/>
              <w:rPr>
                <w:rFonts w:hAnsi="宋体" w:eastAsia="宋体" w:cs="宋体"/>
                <w:color w:val="000000"/>
                <w:szCs w:val="24"/>
                <w:highlight w:val="none"/>
              </w:rPr>
            </w:pPr>
          </w:p>
        </w:tc>
        <w:tc>
          <w:tcPr>
            <w:tcW w:w="1255" w:type="dxa"/>
          </w:tcPr>
          <w:p w14:paraId="6E628B5F">
            <w:pPr>
              <w:pStyle w:val="17"/>
              <w:spacing w:line="600" w:lineRule="exact"/>
              <w:rPr>
                <w:rFonts w:hAnsi="宋体" w:eastAsia="宋体" w:cs="宋体"/>
                <w:color w:val="000000"/>
                <w:szCs w:val="24"/>
                <w:highlight w:val="none"/>
              </w:rPr>
            </w:pPr>
          </w:p>
        </w:tc>
      </w:tr>
      <w:tr w14:paraId="4357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28DBB786">
            <w:pPr>
              <w:pStyle w:val="17"/>
              <w:spacing w:line="600" w:lineRule="exact"/>
              <w:rPr>
                <w:rFonts w:hAnsi="宋体" w:eastAsia="宋体" w:cs="宋体"/>
                <w:color w:val="000000"/>
                <w:szCs w:val="24"/>
                <w:highlight w:val="none"/>
              </w:rPr>
            </w:pPr>
          </w:p>
        </w:tc>
        <w:tc>
          <w:tcPr>
            <w:tcW w:w="1962" w:type="dxa"/>
          </w:tcPr>
          <w:p w14:paraId="798802D2">
            <w:pPr>
              <w:pStyle w:val="17"/>
              <w:spacing w:line="600" w:lineRule="exact"/>
              <w:rPr>
                <w:rFonts w:hAnsi="宋体" w:eastAsia="宋体" w:cs="宋体"/>
                <w:color w:val="000000"/>
                <w:szCs w:val="24"/>
                <w:highlight w:val="none"/>
              </w:rPr>
            </w:pPr>
          </w:p>
        </w:tc>
        <w:tc>
          <w:tcPr>
            <w:tcW w:w="2758" w:type="dxa"/>
          </w:tcPr>
          <w:p w14:paraId="4F5027A1">
            <w:pPr>
              <w:pStyle w:val="17"/>
              <w:spacing w:line="600" w:lineRule="exact"/>
              <w:rPr>
                <w:rFonts w:hAnsi="宋体" w:eastAsia="宋体" w:cs="宋体"/>
                <w:color w:val="000000"/>
                <w:szCs w:val="24"/>
                <w:highlight w:val="none"/>
              </w:rPr>
            </w:pPr>
          </w:p>
        </w:tc>
        <w:tc>
          <w:tcPr>
            <w:tcW w:w="2171" w:type="dxa"/>
          </w:tcPr>
          <w:p w14:paraId="77344CE3">
            <w:pPr>
              <w:pStyle w:val="17"/>
              <w:spacing w:line="600" w:lineRule="exact"/>
              <w:rPr>
                <w:rFonts w:hAnsi="宋体" w:eastAsia="宋体" w:cs="宋体"/>
                <w:color w:val="000000"/>
                <w:szCs w:val="24"/>
                <w:highlight w:val="none"/>
              </w:rPr>
            </w:pPr>
          </w:p>
        </w:tc>
        <w:tc>
          <w:tcPr>
            <w:tcW w:w="1255" w:type="dxa"/>
          </w:tcPr>
          <w:p w14:paraId="5F8B66C3">
            <w:pPr>
              <w:pStyle w:val="17"/>
              <w:spacing w:line="600" w:lineRule="exact"/>
              <w:rPr>
                <w:rFonts w:hAnsi="宋体" w:eastAsia="宋体" w:cs="宋体"/>
                <w:color w:val="000000"/>
                <w:szCs w:val="24"/>
                <w:highlight w:val="none"/>
              </w:rPr>
            </w:pPr>
          </w:p>
        </w:tc>
      </w:tr>
      <w:tr w14:paraId="5BC9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D769BE4">
            <w:pPr>
              <w:pStyle w:val="17"/>
              <w:spacing w:line="600" w:lineRule="exact"/>
              <w:rPr>
                <w:rFonts w:hAnsi="宋体" w:eastAsia="宋体" w:cs="宋体"/>
                <w:color w:val="000000"/>
                <w:szCs w:val="24"/>
                <w:highlight w:val="none"/>
              </w:rPr>
            </w:pPr>
          </w:p>
        </w:tc>
        <w:tc>
          <w:tcPr>
            <w:tcW w:w="1962" w:type="dxa"/>
          </w:tcPr>
          <w:p w14:paraId="6F7483B4">
            <w:pPr>
              <w:pStyle w:val="17"/>
              <w:spacing w:line="600" w:lineRule="exact"/>
              <w:rPr>
                <w:rFonts w:hAnsi="宋体" w:eastAsia="宋体" w:cs="宋体"/>
                <w:color w:val="000000"/>
                <w:szCs w:val="24"/>
                <w:highlight w:val="none"/>
              </w:rPr>
            </w:pPr>
          </w:p>
        </w:tc>
        <w:tc>
          <w:tcPr>
            <w:tcW w:w="2758" w:type="dxa"/>
          </w:tcPr>
          <w:p w14:paraId="4887330E">
            <w:pPr>
              <w:pStyle w:val="17"/>
              <w:spacing w:line="600" w:lineRule="exact"/>
              <w:rPr>
                <w:rFonts w:hAnsi="宋体" w:eastAsia="宋体" w:cs="宋体"/>
                <w:color w:val="000000"/>
                <w:szCs w:val="24"/>
                <w:highlight w:val="none"/>
              </w:rPr>
            </w:pPr>
          </w:p>
        </w:tc>
        <w:tc>
          <w:tcPr>
            <w:tcW w:w="2171" w:type="dxa"/>
          </w:tcPr>
          <w:p w14:paraId="1685EC8A">
            <w:pPr>
              <w:pStyle w:val="17"/>
              <w:spacing w:line="600" w:lineRule="exact"/>
              <w:rPr>
                <w:rFonts w:hAnsi="宋体" w:eastAsia="宋体" w:cs="宋体"/>
                <w:color w:val="000000"/>
                <w:szCs w:val="24"/>
                <w:highlight w:val="none"/>
              </w:rPr>
            </w:pPr>
          </w:p>
        </w:tc>
        <w:tc>
          <w:tcPr>
            <w:tcW w:w="1255" w:type="dxa"/>
          </w:tcPr>
          <w:p w14:paraId="01E75C5A">
            <w:pPr>
              <w:pStyle w:val="17"/>
              <w:spacing w:line="600" w:lineRule="exact"/>
              <w:rPr>
                <w:rFonts w:hAnsi="宋体" w:eastAsia="宋体" w:cs="宋体"/>
                <w:color w:val="000000"/>
                <w:szCs w:val="24"/>
                <w:highlight w:val="none"/>
              </w:rPr>
            </w:pPr>
          </w:p>
        </w:tc>
      </w:tr>
      <w:tr w14:paraId="518A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11" w:type="dxa"/>
          </w:tcPr>
          <w:p w14:paraId="1CCD5026">
            <w:pPr>
              <w:pStyle w:val="17"/>
              <w:spacing w:line="600" w:lineRule="exact"/>
              <w:rPr>
                <w:rFonts w:hAnsi="宋体" w:eastAsia="宋体" w:cs="宋体"/>
                <w:color w:val="000000"/>
                <w:szCs w:val="24"/>
                <w:highlight w:val="none"/>
              </w:rPr>
            </w:pPr>
          </w:p>
        </w:tc>
        <w:tc>
          <w:tcPr>
            <w:tcW w:w="1962" w:type="dxa"/>
          </w:tcPr>
          <w:p w14:paraId="497F3F92">
            <w:pPr>
              <w:pStyle w:val="17"/>
              <w:spacing w:line="400" w:lineRule="exact"/>
              <w:rPr>
                <w:rFonts w:hAnsi="宋体" w:eastAsia="宋体" w:cs="宋体"/>
                <w:color w:val="000000"/>
                <w:szCs w:val="24"/>
                <w:highlight w:val="none"/>
              </w:rPr>
            </w:pPr>
          </w:p>
        </w:tc>
        <w:tc>
          <w:tcPr>
            <w:tcW w:w="2758" w:type="dxa"/>
          </w:tcPr>
          <w:p w14:paraId="7EFDA8C9">
            <w:pPr>
              <w:pStyle w:val="17"/>
              <w:spacing w:line="600" w:lineRule="exact"/>
              <w:rPr>
                <w:rFonts w:hAnsi="宋体" w:eastAsia="宋体" w:cs="宋体"/>
                <w:color w:val="000000"/>
                <w:szCs w:val="24"/>
                <w:highlight w:val="none"/>
              </w:rPr>
            </w:pPr>
          </w:p>
        </w:tc>
        <w:tc>
          <w:tcPr>
            <w:tcW w:w="2171" w:type="dxa"/>
          </w:tcPr>
          <w:p w14:paraId="48272C1C">
            <w:pPr>
              <w:pStyle w:val="17"/>
              <w:spacing w:line="600" w:lineRule="exact"/>
              <w:rPr>
                <w:rFonts w:hAnsi="宋体" w:eastAsia="宋体" w:cs="宋体"/>
                <w:color w:val="000000"/>
                <w:szCs w:val="24"/>
                <w:highlight w:val="none"/>
              </w:rPr>
            </w:pPr>
          </w:p>
        </w:tc>
        <w:tc>
          <w:tcPr>
            <w:tcW w:w="1255" w:type="dxa"/>
          </w:tcPr>
          <w:p w14:paraId="02EC0E22">
            <w:pPr>
              <w:pStyle w:val="17"/>
              <w:spacing w:line="600" w:lineRule="exact"/>
              <w:rPr>
                <w:rFonts w:hAnsi="宋体" w:eastAsia="宋体" w:cs="宋体"/>
                <w:color w:val="000000"/>
                <w:szCs w:val="24"/>
                <w:highlight w:val="none"/>
              </w:rPr>
            </w:pPr>
          </w:p>
        </w:tc>
      </w:tr>
      <w:tr w14:paraId="2A37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11" w:type="dxa"/>
          </w:tcPr>
          <w:p w14:paraId="48E4406E">
            <w:pPr>
              <w:pStyle w:val="17"/>
              <w:spacing w:line="600" w:lineRule="exact"/>
              <w:rPr>
                <w:rFonts w:hAnsi="宋体" w:eastAsia="宋体" w:cs="宋体"/>
                <w:color w:val="000000"/>
                <w:szCs w:val="24"/>
                <w:highlight w:val="none"/>
              </w:rPr>
            </w:pPr>
          </w:p>
        </w:tc>
        <w:tc>
          <w:tcPr>
            <w:tcW w:w="1962" w:type="dxa"/>
          </w:tcPr>
          <w:p w14:paraId="024C871E">
            <w:pPr>
              <w:pStyle w:val="17"/>
              <w:spacing w:line="400" w:lineRule="exact"/>
              <w:rPr>
                <w:rFonts w:hAnsi="宋体" w:eastAsia="宋体" w:cs="宋体"/>
                <w:color w:val="000000"/>
                <w:szCs w:val="24"/>
                <w:highlight w:val="none"/>
              </w:rPr>
            </w:pPr>
          </w:p>
        </w:tc>
        <w:tc>
          <w:tcPr>
            <w:tcW w:w="2758" w:type="dxa"/>
          </w:tcPr>
          <w:p w14:paraId="1B6F569E">
            <w:pPr>
              <w:pStyle w:val="17"/>
              <w:spacing w:line="600" w:lineRule="exact"/>
              <w:rPr>
                <w:rFonts w:hAnsi="宋体" w:eastAsia="宋体" w:cs="宋体"/>
                <w:color w:val="000000"/>
                <w:szCs w:val="24"/>
                <w:highlight w:val="none"/>
              </w:rPr>
            </w:pPr>
          </w:p>
        </w:tc>
        <w:tc>
          <w:tcPr>
            <w:tcW w:w="2171" w:type="dxa"/>
          </w:tcPr>
          <w:p w14:paraId="69CB5323">
            <w:pPr>
              <w:pStyle w:val="17"/>
              <w:spacing w:line="600" w:lineRule="exact"/>
              <w:rPr>
                <w:rFonts w:hAnsi="宋体" w:eastAsia="宋体" w:cs="宋体"/>
                <w:color w:val="000000"/>
                <w:szCs w:val="24"/>
                <w:highlight w:val="none"/>
              </w:rPr>
            </w:pPr>
          </w:p>
        </w:tc>
        <w:tc>
          <w:tcPr>
            <w:tcW w:w="1255" w:type="dxa"/>
          </w:tcPr>
          <w:p w14:paraId="6CD0ABF0">
            <w:pPr>
              <w:pStyle w:val="17"/>
              <w:spacing w:line="600" w:lineRule="exact"/>
              <w:rPr>
                <w:rFonts w:hAnsi="宋体" w:eastAsia="宋体" w:cs="宋体"/>
                <w:color w:val="000000"/>
                <w:szCs w:val="24"/>
                <w:highlight w:val="none"/>
              </w:rPr>
            </w:pPr>
          </w:p>
        </w:tc>
      </w:tr>
    </w:tbl>
    <w:p w14:paraId="1E3740C3">
      <w:pPr>
        <w:autoSpaceDE w:val="0"/>
        <w:autoSpaceDN w:val="0"/>
        <w:adjustRightInd w:val="0"/>
        <w:snapToGrid w:val="0"/>
        <w:spacing w:line="420" w:lineRule="exact"/>
        <w:rPr>
          <w:rFonts w:ascii="宋体" w:hAnsi="宋体" w:eastAsia="宋体" w:cs="宋体"/>
          <w:color w:val="000000"/>
          <w:szCs w:val="24"/>
          <w:highlight w:val="none"/>
        </w:rPr>
      </w:pPr>
      <w:r>
        <w:rPr>
          <w:rFonts w:hint="eastAsia" w:ascii="宋体" w:hAnsi="宋体" w:eastAsia="宋体" w:cs="宋体"/>
          <w:color w:val="000000"/>
          <w:szCs w:val="24"/>
          <w:highlight w:val="none"/>
        </w:rPr>
        <w:t>说明：</w:t>
      </w:r>
    </w:p>
    <w:p w14:paraId="5FDE1800">
      <w:pPr>
        <w:autoSpaceDE w:val="0"/>
        <w:autoSpaceDN w:val="0"/>
        <w:adjustRightInd w:val="0"/>
        <w:snapToGrid w:val="0"/>
        <w:spacing w:line="420" w:lineRule="exact"/>
        <w:rPr>
          <w:rFonts w:hint="eastAsia" w:ascii="宋体" w:hAnsi="宋体" w:eastAsia="宋体" w:cs="宋体"/>
          <w:b/>
          <w:bCs/>
          <w:color w:val="000000"/>
          <w:szCs w:val="24"/>
          <w:highlight w:val="none"/>
          <w:lang w:val="zh-CN"/>
        </w:rPr>
      </w:pPr>
      <w:r>
        <w:rPr>
          <w:rFonts w:hint="eastAsia" w:ascii="宋体" w:hAnsi="宋体" w:eastAsia="宋体" w:cs="宋体"/>
          <w:b/>
          <w:bCs/>
          <w:color w:val="000000"/>
          <w:szCs w:val="24"/>
          <w:highlight w:val="none"/>
          <w:lang w:val="zh-CN"/>
        </w:rPr>
        <w:t xml:space="preserve">1.本表只填写磋商响应文件中与磋商文件有偏离（包括正偏离和负偏离）的内容，磋商响应文件中商务条款响应与磋商文件要求完全一致的，不用在此表中列出，但必须提交空白表。 </w:t>
      </w:r>
    </w:p>
    <w:p w14:paraId="15746027">
      <w:pPr>
        <w:autoSpaceDE w:val="0"/>
        <w:autoSpaceDN w:val="0"/>
        <w:adjustRightInd w:val="0"/>
        <w:snapToGrid w:val="0"/>
        <w:spacing w:line="420" w:lineRule="exact"/>
        <w:rPr>
          <w:rFonts w:ascii="宋体" w:hAnsi="宋体" w:eastAsia="宋体" w:cs="宋体"/>
          <w:b/>
          <w:bCs/>
          <w:color w:val="000000"/>
          <w:szCs w:val="24"/>
          <w:highlight w:val="none"/>
        </w:rPr>
      </w:pPr>
      <w:r>
        <w:rPr>
          <w:rFonts w:hint="eastAsia" w:ascii="宋体" w:hAnsi="宋体" w:eastAsia="宋体" w:cs="宋体"/>
          <w:b/>
          <w:bCs/>
          <w:color w:val="000000"/>
          <w:szCs w:val="24"/>
          <w:highlight w:val="none"/>
          <w:lang w:val="zh-CN"/>
        </w:rPr>
        <w:t>2.供应商必须据实填写，不得虚假响应，否则将取消其磋商或成交资格，并按有关规定进处罚。</w:t>
      </w:r>
      <w:r>
        <w:rPr>
          <w:rFonts w:hint="eastAsia" w:ascii="宋体" w:hAnsi="宋体" w:eastAsia="宋体" w:cs="宋体"/>
          <w:b/>
          <w:bCs/>
          <w:color w:val="000000"/>
          <w:szCs w:val="24"/>
          <w:highlight w:val="none"/>
        </w:rPr>
        <w:t xml:space="preserve">                                      </w:t>
      </w:r>
    </w:p>
    <w:p w14:paraId="31341645">
      <w:pPr>
        <w:spacing w:line="360" w:lineRule="auto"/>
        <w:rPr>
          <w:rFonts w:hint="eastAsia" w:ascii="宋体" w:hAnsi="宋体" w:eastAsia="宋体" w:cs="宋体"/>
          <w:szCs w:val="24"/>
          <w:highlight w:val="none"/>
          <w:lang w:val="zh-CN"/>
        </w:rPr>
      </w:pPr>
    </w:p>
    <w:p w14:paraId="3ADB0084">
      <w:pPr>
        <w:spacing w:line="360" w:lineRule="auto"/>
        <w:rPr>
          <w:rFonts w:ascii="宋体" w:hAnsi="宋体" w:eastAsia="宋体" w:cs="宋体"/>
          <w:szCs w:val="24"/>
          <w:highlight w:val="none"/>
        </w:rPr>
      </w:pPr>
      <w:r>
        <w:rPr>
          <w:rFonts w:hint="eastAsia" w:ascii="宋体" w:hAnsi="宋体" w:eastAsia="宋体" w:cs="宋体"/>
          <w:szCs w:val="24"/>
          <w:highlight w:val="none"/>
          <w:lang w:val="zh-CN"/>
        </w:rPr>
        <w:t>供应商</w:t>
      </w:r>
      <w:r>
        <w:rPr>
          <w:rFonts w:hint="eastAsia" w:ascii="宋体" w:hAnsi="宋体" w:eastAsia="宋体" w:cs="宋体"/>
          <w:szCs w:val="24"/>
          <w:highlight w:val="none"/>
        </w:rPr>
        <w:t>名称：</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 xml:space="preserve">（盖章） </w:t>
      </w:r>
    </w:p>
    <w:p w14:paraId="6BB78D09">
      <w:pPr>
        <w:spacing w:line="360" w:lineRule="auto"/>
        <w:rPr>
          <w:rFonts w:ascii="宋体" w:hAnsi="宋体" w:cs="宋体"/>
          <w:highlight w:val="none"/>
          <w:u w:val="single"/>
        </w:rPr>
      </w:pPr>
      <w:r>
        <w:rPr>
          <w:rFonts w:hint="eastAsia" w:ascii="宋体" w:hAnsi="宋体" w:cs="宋体"/>
          <w:highlight w:val="none"/>
        </w:rPr>
        <w:t>法定代表人或授权代表：</w:t>
      </w:r>
      <w:r>
        <w:rPr>
          <w:rFonts w:hint="eastAsia" w:ascii="宋体" w:hAnsi="宋体" w:cs="宋体"/>
          <w:highlight w:val="none"/>
          <w:u w:val="single"/>
        </w:rPr>
        <w:t xml:space="preserve">       </w:t>
      </w:r>
      <w:r>
        <w:rPr>
          <w:rFonts w:hint="eastAsia" w:ascii="宋体" w:hAnsi="宋体" w:cs="宋体"/>
          <w:highlight w:val="none"/>
        </w:rPr>
        <w:t>（签字或盖章）</w:t>
      </w:r>
    </w:p>
    <w:p w14:paraId="1ECA6A68">
      <w:pPr>
        <w:autoSpaceDE w:val="0"/>
        <w:autoSpaceDN w:val="0"/>
        <w:adjustRightInd w:val="0"/>
        <w:snapToGrid w:val="0"/>
        <w:spacing w:line="360" w:lineRule="auto"/>
        <w:rPr>
          <w:rFonts w:ascii="宋体" w:hAnsi="宋体" w:cs="宋体"/>
          <w:bCs/>
          <w:caps/>
          <w:color w:val="000000"/>
          <w:highlight w:val="none"/>
        </w:rPr>
      </w:pPr>
      <w:r>
        <w:rPr>
          <w:rFonts w:hint="eastAsia" w:ascii="宋体" w:hAnsi="宋体" w:cs="宋体"/>
          <w:highlight w:val="none"/>
        </w:rPr>
        <w:t>日  期：</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月</w:t>
      </w:r>
      <w:r>
        <w:rPr>
          <w:rFonts w:hint="eastAsia" w:ascii="宋体" w:hAnsi="宋体" w:cs="宋体"/>
          <w:color w:val="000000"/>
          <w:highlight w:val="none"/>
          <w:u w:val="single"/>
        </w:rPr>
        <w:t xml:space="preserve">         </w:t>
      </w:r>
      <w:r>
        <w:rPr>
          <w:rFonts w:hint="eastAsia" w:ascii="宋体" w:hAnsi="宋体" w:cs="宋体"/>
          <w:color w:val="000000"/>
          <w:highlight w:val="none"/>
        </w:rPr>
        <w:t>日</w:t>
      </w:r>
      <w:r>
        <w:rPr>
          <w:rFonts w:hint="eastAsia" w:ascii="宋体" w:hAnsi="宋体" w:cs="宋体"/>
          <w:bCs/>
          <w:caps/>
          <w:color w:val="000000"/>
          <w:highlight w:val="none"/>
        </w:rPr>
        <w:t xml:space="preserve"> </w:t>
      </w:r>
    </w:p>
    <w:p w14:paraId="58D40E72">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p w14:paraId="5BBC71ED">
      <w:pPr>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5</w:t>
      </w:r>
      <w:r>
        <w:rPr>
          <w:rFonts w:hint="eastAsia" w:ascii="宋体" w:hAnsi="宋体" w:eastAsia="宋体" w:cs="宋体"/>
          <w:b/>
          <w:color w:val="000000" w:themeColor="text1"/>
          <w:kern w:val="0"/>
          <w:sz w:val="28"/>
          <w:highlight w:val="none"/>
          <w14:textFill>
            <w14:solidFill>
              <w14:schemeClr w14:val="tx1"/>
            </w14:solidFill>
          </w14:textFill>
        </w:rPr>
        <w:t>.磋商保证金缴纳凭证</w:t>
      </w:r>
    </w:p>
    <w:tbl>
      <w:tblPr>
        <w:tblStyle w:val="3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4FEB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9" w:hRule="atLeast"/>
        </w:trPr>
        <w:tc>
          <w:tcPr>
            <w:tcW w:w="9300" w:type="dxa"/>
          </w:tcPr>
          <w:p w14:paraId="72A52225">
            <w:pPr>
              <w:spacing w:line="520" w:lineRule="exact"/>
              <w:ind w:firstLine="524" w:firstLineChars="200"/>
              <w:rPr>
                <w:rFonts w:ascii="宋体" w:hAnsi="宋体" w:eastAsia="宋体" w:cs="宋体"/>
                <w:spacing w:val="11"/>
                <w:highlight w:val="none"/>
              </w:rPr>
            </w:pPr>
          </w:p>
          <w:p w14:paraId="0F623E7A">
            <w:pPr>
              <w:spacing w:line="520" w:lineRule="exact"/>
              <w:ind w:firstLine="524" w:firstLineChars="200"/>
              <w:rPr>
                <w:rFonts w:ascii="宋体" w:hAnsi="宋体" w:eastAsia="宋体" w:cs="宋体"/>
                <w:spacing w:val="11"/>
                <w:highlight w:val="none"/>
              </w:rPr>
            </w:pPr>
          </w:p>
          <w:p w14:paraId="5EB38CAE">
            <w:pPr>
              <w:spacing w:line="520" w:lineRule="exact"/>
              <w:ind w:firstLine="524" w:firstLineChars="200"/>
              <w:rPr>
                <w:rFonts w:ascii="宋体" w:hAnsi="宋体" w:eastAsia="宋体" w:cs="宋体"/>
                <w:spacing w:val="11"/>
                <w:highlight w:val="none"/>
              </w:rPr>
            </w:pPr>
          </w:p>
          <w:p w14:paraId="08D05FE8">
            <w:pPr>
              <w:spacing w:line="520" w:lineRule="exact"/>
              <w:ind w:firstLine="524" w:firstLineChars="200"/>
              <w:rPr>
                <w:rFonts w:ascii="宋体" w:hAnsi="宋体" w:eastAsia="宋体" w:cs="宋体"/>
                <w:spacing w:val="11"/>
                <w:highlight w:val="none"/>
              </w:rPr>
            </w:pPr>
          </w:p>
          <w:p w14:paraId="444C288E">
            <w:pPr>
              <w:spacing w:line="520" w:lineRule="exact"/>
              <w:ind w:firstLine="524" w:firstLineChars="200"/>
              <w:rPr>
                <w:rFonts w:ascii="宋体" w:hAnsi="宋体" w:eastAsia="宋体" w:cs="宋体"/>
                <w:spacing w:val="11"/>
                <w:highlight w:val="none"/>
              </w:rPr>
            </w:pPr>
          </w:p>
          <w:p w14:paraId="112F49C0">
            <w:pPr>
              <w:spacing w:line="520" w:lineRule="exact"/>
              <w:ind w:firstLine="524" w:firstLineChars="200"/>
              <w:rPr>
                <w:rFonts w:ascii="宋体" w:hAnsi="宋体" w:eastAsia="宋体" w:cs="宋体"/>
                <w:spacing w:val="11"/>
                <w:highlight w:val="none"/>
              </w:rPr>
            </w:pPr>
          </w:p>
          <w:p w14:paraId="21EF5640">
            <w:pPr>
              <w:spacing w:line="520" w:lineRule="exact"/>
              <w:ind w:firstLine="524" w:firstLineChars="200"/>
              <w:rPr>
                <w:rFonts w:ascii="宋体" w:hAnsi="宋体" w:eastAsia="宋体" w:cs="宋体"/>
                <w:spacing w:val="11"/>
                <w:highlight w:val="none"/>
              </w:rPr>
            </w:pPr>
          </w:p>
          <w:p w14:paraId="2D6169BE">
            <w:pPr>
              <w:pStyle w:val="13"/>
              <w:jc w:val="center"/>
              <w:rPr>
                <w:rFonts w:hint="eastAsia" w:ascii="宋体" w:hAnsi="宋体" w:eastAsia="宋体" w:cs="宋体"/>
                <w:highlight w:val="none"/>
                <w:lang w:val="zh-CN"/>
              </w:rPr>
            </w:pPr>
            <w:r>
              <w:rPr>
                <w:rFonts w:hint="eastAsia" w:ascii="宋体" w:hAnsi="宋体" w:eastAsia="宋体" w:cs="宋体"/>
                <w:highlight w:val="none"/>
                <w:lang w:val="zh-CN"/>
              </w:rPr>
              <w:t>供应商应在此提供磋商保证金</w:t>
            </w:r>
            <w:r>
              <w:rPr>
                <w:rFonts w:hint="eastAsia" w:ascii="宋体" w:hAnsi="宋体" w:eastAsia="宋体" w:cs="宋体"/>
                <w:highlight w:val="none"/>
                <w:lang w:val="en-US" w:eastAsia="zh-CN"/>
              </w:rPr>
              <w:t>缴纳</w:t>
            </w:r>
            <w:r>
              <w:rPr>
                <w:rFonts w:hint="eastAsia" w:ascii="宋体" w:hAnsi="宋体" w:eastAsia="宋体" w:cs="宋体"/>
                <w:highlight w:val="none"/>
                <w:lang w:val="zh-CN"/>
              </w:rPr>
              <w:t>凭证的复印件</w:t>
            </w:r>
          </w:p>
          <w:p w14:paraId="6FF984E0">
            <w:pPr>
              <w:pStyle w:val="13"/>
              <w:rPr>
                <w:rFonts w:ascii="宋体" w:hAnsi="宋体" w:eastAsia="宋体" w:cs="宋体"/>
                <w:highlight w:val="none"/>
              </w:rPr>
            </w:pPr>
          </w:p>
        </w:tc>
      </w:tr>
    </w:tbl>
    <w:p w14:paraId="6971E10A">
      <w:pPr>
        <w:pStyle w:val="13"/>
        <w:rPr>
          <w:rFonts w:ascii="宋体" w:hAnsi="宋体" w:eastAsia="宋体" w:cs="宋体"/>
          <w:highlight w:val="none"/>
        </w:rPr>
      </w:pPr>
    </w:p>
    <w:p w14:paraId="1C6D33FE">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p w14:paraId="60695B2D">
      <w:pPr>
        <w:keepNext w:val="0"/>
        <w:keepLines w:val="0"/>
        <w:pageBreakBefore w:val="0"/>
        <w:kinsoku/>
        <w:wordWrap/>
        <w:overflowPunct/>
        <w:topLinePunct w:val="0"/>
        <w:autoSpaceDE/>
        <w:autoSpaceDN/>
        <w:bidi w:val="0"/>
        <w:adjustRightInd/>
        <w:snapToGrid/>
        <w:spacing w:line="500" w:lineRule="exact"/>
        <w:ind w:firstLine="3614" w:firstLineChars="1500"/>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交易保证金信用承诺书</w:t>
      </w:r>
    </w:p>
    <w:p w14:paraId="22635EA5">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u w:val="single"/>
          <w:lang w:val="en-US" w:eastAsia="zh-CN"/>
        </w:rPr>
      </w:pPr>
      <w:r>
        <w:rPr>
          <w:rFonts w:hint="eastAsia" w:ascii="宋体" w:hAnsi="宋体" w:eastAsia="宋体" w:cs="宋体"/>
          <w:color w:val="000000"/>
          <w:spacing w:val="0"/>
          <w:sz w:val="24"/>
          <w:szCs w:val="24"/>
          <w:u w:val="single"/>
          <w:lang w:val="en-US" w:eastAsia="zh-CN"/>
        </w:rPr>
        <w:t>（招标采购单位名称）：</w:t>
      </w:r>
    </w:p>
    <w:p w14:paraId="28C09A98">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为维护公平、公正、公开的招标采购市场秩序，树立诚实守信的投标人供应商形象，我单位自愿作出以下承诺：</w:t>
      </w:r>
    </w:p>
    <w:p w14:paraId="41096367">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单位名称：</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 xml:space="preserve"> </w:t>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 xml:space="preserve"> </w:t>
      </w:r>
    </w:p>
    <w:p w14:paraId="34733FA3">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统一社会信用代码：</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 xml:space="preserve"> </w:t>
      </w:r>
    </w:p>
    <w:p w14:paraId="1B0D1801">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法定代表人：</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ab/>
      </w:r>
      <w:r>
        <w:rPr>
          <w:rFonts w:hint="eastAsia" w:ascii="宋体" w:hAnsi="宋体" w:eastAsia="宋体" w:cs="宋体"/>
          <w:color w:val="000000"/>
          <w:spacing w:val="0"/>
          <w:sz w:val="24"/>
          <w:szCs w:val="24"/>
          <w:lang w:val="en-US" w:eastAsia="zh-CN"/>
        </w:rPr>
        <w:t xml:space="preserve"> </w:t>
      </w:r>
    </w:p>
    <w:p w14:paraId="34A8C00C">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地址和联系电话：</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color w:val="000000"/>
          <w:spacing w:val="0"/>
          <w:sz w:val="24"/>
          <w:szCs w:val="24"/>
          <w:lang w:val="en-US" w:eastAsia="zh-CN"/>
        </w:rPr>
        <w:t xml:space="preserve">                                   </w:t>
      </w:r>
    </w:p>
    <w:p w14:paraId="48058772">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一、我单位具备承担招标采购项目的能力，自愿参加</w:t>
      </w:r>
      <w:r>
        <w:rPr>
          <w:rFonts w:hint="eastAsia" w:ascii="宋体" w:hAnsi="宋体" w:eastAsia="宋体" w:cs="宋体"/>
          <w:color w:val="000000"/>
          <w:spacing w:val="0"/>
          <w:sz w:val="24"/>
          <w:szCs w:val="24"/>
          <w:u w:val="single"/>
          <w:lang w:val="en-US" w:eastAsia="zh-CN"/>
        </w:rPr>
        <w:t>（         项目名称）</w:t>
      </w:r>
      <w:r>
        <w:rPr>
          <w:rFonts w:hint="eastAsia" w:ascii="宋体" w:hAnsi="宋体" w:eastAsia="宋体" w:cs="宋体"/>
          <w:color w:val="000000"/>
          <w:spacing w:val="0"/>
          <w:sz w:val="24"/>
          <w:szCs w:val="24"/>
          <w:u w:val="none"/>
          <w:lang w:val="en-US" w:eastAsia="zh-CN"/>
        </w:rPr>
        <w:t>招标采购</w:t>
      </w:r>
      <w:r>
        <w:rPr>
          <w:rFonts w:hint="eastAsia" w:ascii="宋体" w:hAnsi="宋体" w:eastAsia="宋体" w:cs="宋体"/>
          <w:color w:val="000000"/>
          <w:spacing w:val="0"/>
          <w:sz w:val="24"/>
          <w:szCs w:val="24"/>
          <w:lang w:val="en-US" w:eastAsia="zh-CN"/>
        </w:rPr>
        <w:t>活动，严格遵守《中华人民共和国招标投标法》《中华人民共和国政府采购法》及相关法律法规，依法守信，诚信履约，自觉执行招标采购活动的各项规定。</w:t>
      </w:r>
    </w:p>
    <w:p w14:paraId="17C2B229">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二、按照国家公共信用查询结果，我单位属于国家公共信用评价的无违规违法不良信用记录企业。</w:t>
      </w:r>
    </w:p>
    <w:p w14:paraId="7EF1221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三、我单位如有发生下述任何一种违约行为，自愿承担相关法律责任，5年内自动放弃在宝鸡市项目招标采购中使用“保证金信用承诺书”资格</w:t>
      </w:r>
      <w:r>
        <w:rPr>
          <w:rFonts w:hint="eastAsia" w:ascii="宋体" w:hAnsi="宋体" w:eastAsia="宋体" w:cs="宋体"/>
          <w:color w:val="000000"/>
          <w:spacing w:val="7"/>
          <w:sz w:val="24"/>
          <w:szCs w:val="24"/>
          <w:lang w:eastAsia="zh-CN"/>
        </w:rPr>
        <w:t>。</w:t>
      </w:r>
      <w:r>
        <w:rPr>
          <w:rFonts w:hint="eastAsia" w:ascii="宋体" w:hAnsi="宋体" w:eastAsia="宋体" w:cs="宋体"/>
          <w:color w:val="000000"/>
          <w:spacing w:val="0"/>
          <w:sz w:val="24"/>
          <w:szCs w:val="24"/>
          <w:lang w:val="en-US" w:eastAsia="zh-CN"/>
        </w:rPr>
        <w:t>并于收到招标人采购人书面通知7个工作日内，将文件规定的投标保证金足额缴纳至招标人指定账户予以没收，作为处罚。如若拒交，招标人采购人优先选择市公共资源交易中心认可的宝鸡商事纠纷信用调解中心进行调解或仲裁或诉讼。交易中心有权取消失信主体在宝鸡参与招标采购、进场交易等权益。</w:t>
      </w:r>
    </w:p>
    <w:p w14:paraId="56391711">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（一）在招标采购文件中规定的有效期内撤销投标采购文件；</w:t>
      </w:r>
    </w:p>
    <w:p w14:paraId="32E3AA7D">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（二）中标后在规定期限内无正当理由不与招标人采购人签订合同，或者未按招标采购文件规定提交履约保证金；</w:t>
      </w:r>
    </w:p>
    <w:p w14:paraId="091B6931">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（三）未按照宝鸡市公共资源交易规定，及时足额缴纳进场交易服务费，或仍有拖欠交易服务费；</w:t>
      </w:r>
    </w:p>
    <w:p w14:paraId="1EE99444">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（四）行政监管机构认定投标采购人有串通投标或弄虚作假等违法违纪行为；</w:t>
      </w:r>
    </w:p>
    <w:p w14:paraId="08DB2E66">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（五）法律法规规定的其他情形。</w:t>
      </w:r>
    </w:p>
    <w:p w14:paraId="5EF09B1A">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四、同意将承诺和失诺信息纳入宝鸡市公共资源交易领域信用记录并归集至信用中国（陕西宝鸡）等信用平台合规应用。</w:t>
      </w:r>
    </w:p>
    <w:p w14:paraId="30148C7D">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特此承诺。</w:t>
      </w:r>
    </w:p>
    <w:p w14:paraId="22AD2620">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附件：</w:t>
      </w:r>
      <w:r>
        <w:rPr>
          <w:rFonts w:hint="eastAsia" w:ascii="宋体" w:hAnsi="宋体" w:eastAsia="宋体" w:cs="宋体"/>
          <w:sz w:val="24"/>
          <w:szCs w:val="24"/>
          <w:lang w:val="en-US" w:eastAsia="zh-CN"/>
        </w:rPr>
        <w:t>“信用中国”网站信用报告</w:t>
      </w:r>
    </w:p>
    <w:p w14:paraId="364EE5D1">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p>
    <w:p w14:paraId="0AA5F4A6">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p>
    <w:p w14:paraId="4E90761C">
      <w:pPr>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宋体" w:hAnsi="宋体" w:eastAsia="宋体" w:cs="宋体"/>
          <w:color w:val="000000"/>
          <w:spacing w:val="0"/>
          <w:sz w:val="24"/>
          <w:szCs w:val="24"/>
          <w:lang w:val="en-US" w:eastAsia="zh-CN"/>
        </w:rPr>
      </w:pPr>
    </w:p>
    <w:p w14:paraId="1768AAD9">
      <w:pPr>
        <w:keepNext w:val="0"/>
        <w:keepLines w:val="0"/>
        <w:pageBreakBefore w:val="0"/>
        <w:widowControl w:val="0"/>
        <w:kinsoku/>
        <w:wordWrap/>
        <w:overflowPunct/>
        <w:topLinePunct w:val="0"/>
        <w:autoSpaceDE/>
        <w:autoSpaceDN/>
        <w:bidi w:val="0"/>
        <w:adjustRightInd/>
        <w:snapToGrid/>
        <w:spacing w:line="520" w:lineRule="exact"/>
        <w:ind w:right="0" w:firstLine="240" w:firstLineChars="1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投标人供应商                           法定代表人或</w:t>
      </w:r>
    </w:p>
    <w:p w14:paraId="0CDCB353">
      <w:pPr>
        <w:keepNext w:val="0"/>
        <w:keepLines w:val="0"/>
        <w:pageBreakBefore w:val="0"/>
        <w:widowControl w:val="0"/>
        <w:kinsoku/>
        <w:wordWrap/>
        <w:overflowPunct/>
        <w:topLinePunct w:val="0"/>
        <w:autoSpaceDE/>
        <w:autoSpaceDN/>
        <w:bidi w:val="0"/>
        <w:adjustRightInd/>
        <w:snapToGrid/>
        <w:spacing w:line="520" w:lineRule="exact"/>
        <w:ind w:right="0" w:firstLine="240" w:firstLineChars="100"/>
        <w:jc w:val="both"/>
        <w:textAlignment w:val="auto"/>
        <w:rPr>
          <w:rFonts w:hint="eastAsia" w:ascii="宋体" w:hAnsi="宋体" w:eastAsia="宋体" w:cs="宋体"/>
          <w:color w:val="000000"/>
          <w:spacing w:val="0"/>
          <w:sz w:val="24"/>
          <w:szCs w:val="24"/>
          <w:lang w:val="en-US" w:eastAsia="zh-CN"/>
        </w:rPr>
      </w:pPr>
    </w:p>
    <w:p w14:paraId="5CD0B13F">
      <w:pPr>
        <w:keepNext w:val="0"/>
        <w:keepLines w:val="0"/>
        <w:pageBreakBefore w:val="0"/>
        <w:widowControl w:val="0"/>
        <w:kinsoku/>
        <w:wordWrap/>
        <w:overflowPunct/>
        <w:topLinePunct w:val="0"/>
        <w:autoSpaceDE/>
        <w:autoSpaceDN/>
        <w:bidi w:val="0"/>
        <w:adjustRightInd/>
        <w:snapToGrid/>
        <w:spacing w:line="520" w:lineRule="exact"/>
        <w:ind w:right="0" w:firstLine="240" w:firstLineChars="100"/>
        <w:jc w:val="both"/>
        <w:textAlignment w:val="auto"/>
        <w:rPr>
          <w:rFonts w:hint="eastAsia" w:ascii="宋体" w:hAnsi="宋体" w:eastAsia="宋体" w:cs="宋体"/>
          <w:color w:val="000000"/>
          <w:spacing w:val="0"/>
          <w:sz w:val="24"/>
          <w:szCs w:val="24"/>
          <w:lang w:val="en-US" w:eastAsia="zh-CN"/>
        </w:rPr>
      </w:pPr>
      <w:r>
        <w:rPr>
          <w:rFonts w:hint="eastAsia" w:ascii="宋体" w:hAnsi="宋体" w:eastAsia="宋体" w:cs="宋体"/>
          <w:color w:val="000000"/>
          <w:spacing w:val="0"/>
          <w:sz w:val="24"/>
          <w:szCs w:val="24"/>
          <w:lang w:val="en-US" w:eastAsia="zh-CN"/>
        </w:rPr>
        <w:t>单位名称：（盖章）                   授权代表：（签字或签章）</w:t>
      </w:r>
    </w:p>
    <w:p w14:paraId="6BD3AECC">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0"/>
          <w:sz w:val="24"/>
          <w:szCs w:val="24"/>
          <w:lang w:val="en-US" w:eastAsia="zh-CN"/>
        </w:rPr>
      </w:pPr>
    </w:p>
    <w:p w14:paraId="2D8DBAD3">
      <w:pPr>
        <w:keepNext w:val="0"/>
        <w:keepLines w:val="0"/>
        <w:pageBreakBefore w:val="0"/>
        <w:widowControl w:val="0"/>
        <w:kinsoku/>
        <w:wordWrap/>
        <w:overflowPunct/>
        <w:topLinePunct w:val="0"/>
        <w:autoSpaceDE/>
        <w:autoSpaceDN/>
        <w:bidi w:val="0"/>
        <w:adjustRightInd/>
        <w:snapToGrid/>
        <w:spacing w:line="520" w:lineRule="exact"/>
        <w:ind w:right="0" w:firstLine="480" w:firstLineChars="200"/>
        <w:jc w:val="both"/>
        <w:textAlignment w:val="auto"/>
        <w:rPr>
          <w:rFonts w:hint="eastAsia" w:ascii="宋体" w:hAnsi="宋体" w:eastAsia="宋体" w:cs="宋体"/>
          <w:color w:val="000000"/>
          <w:spacing w:val="7"/>
          <w:sz w:val="24"/>
          <w:szCs w:val="24"/>
          <w:lang w:val="en-US" w:eastAsia="zh-CN"/>
        </w:rPr>
      </w:pPr>
      <w:r>
        <w:rPr>
          <w:rFonts w:hint="eastAsia" w:ascii="宋体" w:hAnsi="宋体" w:eastAsia="宋体" w:cs="宋体"/>
          <w:color w:val="000000"/>
          <w:spacing w:val="0"/>
          <w:sz w:val="24"/>
          <w:szCs w:val="24"/>
          <w:lang w:val="en-US" w:eastAsia="zh-CN"/>
        </w:rPr>
        <w:t>年    月    日                          年    月    日</w:t>
      </w:r>
    </w:p>
    <w:p w14:paraId="4F4EB6DA">
      <w:pPr>
        <w:jc w:val="both"/>
        <w:rPr>
          <w:rFonts w:hint="eastAsia" w:ascii="仿宋_GB2312" w:hAnsi="仿宋_GB2312" w:eastAsia="仿宋_GB2312" w:cs="仿宋_GB2312"/>
          <w:sz w:val="32"/>
          <w:szCs w:val="32"/>
          <w:lang w:val="en-US" w:eastAsia="zh-CN"/>
        </w:rPr>
      </w:pPr>
    </w:p>
    <w:p w14:paraId="7B620DFD">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23E03450">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2F625334">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3F03988B">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35FFA5AF">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27AE4275">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01163668">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3AE735FD">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63D2DD3F">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434BED45">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119D9BFB">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15591F43">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536276AC">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05DCD865">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212272EB">
      <w:pPr>
        <w:pStyle w:val="13"/>
        <w:jc w:val="both"/>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553E2883">
      <w:pPr>
        <w:pStyle w:val="13"/>
        <w:jc w:val="center"/>
        <w:rPr>
          <w:rFonts w:hint="eastAsia" w:ascii="宋体" w:hAnsi="宋体" w:eastAsia="宋体" w:cs="宋体"/>
          <w:b/>
          <w:color w:val="000000" w:themeColor="text1"/>
          <w:kern w:val="0"/>
          <w:sz w:val="28"/>
          <w:highlight w:val="none"/>
          <w:lang w:val="en-US" w:eastAsia="zh-CN"/>
          <w14:textFill>
            <w14:solidFill>
              <w14:schemeClr w14:val="tx1"/>
            </w14:solidFill>
          </w14:textFill>
        </w:rPr>
      </w:pPr>
    </w:p>
    <w:p w14:paraId="79000BCB">
      <w:pPr>
        <w:pStyle w:val="13"/>
        <w:jc w:val="cente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lang w:val="en-US" w:eastAsia="zh-CN"/>
          <w14:textFill>
            <w14:solidFill>
              <w14:schemeClr w14:val="tx1"/>
            </w14:solidFill>
          </w14:textFill>
        </w:rPr>
        <w:t>6</w:t>
      </w:r>
      <w:r>
        <w:rPr>
          <w:rFonts w:hint="eastAsia" w:ascii="宋体" w:hAnsi="宋体" w:eastAsia="宋体" w:cs="宋体"/>
          <w:b/>
          <w:color w:val="000000" w:themeColor="text1"/>
          <w:kern w:val="0"/>
          <w:sz w:val="28"/>
          <w:highlight w:val="none"/>
          <w14:textFill>
            <w14:solidFill>
              <w14:schemeClr w14:val="tx1"/>
            </w14:solidFill>
          </w14:textFill>
        </w:rPr>
        <w:t>.供应商承诺书</w:t>
      </w:r>
    </w:p>
    <w:p w14:paraId="13BADCDD">
      <w:pPr>
        <w:spacing w:line="360" w:lineRule="auto"/>
        <w:jc w:val="center"/>
        <w:rPr>
          <w:rFonts w:ascii="宋体" w:hAnsi="宋体" w:eastAsia="宋体" w:cs="宋体"/>
          <w:b/>
          <w:bCs/>
          <w:color w:val="000000" w:themeColor="text1"/>
          <w:szCs w:val="24"/>
          <w:highlight w:val="none"/>
          <w14:textFill>
            <w14:solidFill>
              <w14:schemeClr w14:val="tx1"/>
            </w14:solidFill>
          </w14:textFill>
        </w:rPr>
      </w:pPr>
    </w:p>
    <w:p w14:paraId="68BFC892">
      <w:pPr>
        <w:spacing w:line="720" w:lineRule="auto"/>
        <w:jc w:val="center"/>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6</w:t>
      </w:r>
      <w:r>
        <w:rPr>
          <w:rFonts w:hint="eastAsia" w:ascii="宋体" w:hAnsi="宋体" w:eastAsia="宋体" w:cs="宋体"/>
          <w:b/>
          <w:bCs/>
          <w:color w:val="000000" w:themeColor="text1"/>
          <w:szCs w:val="24"/>
          <w:highlight w:val="none"/>
          <w14:textFill>
            <w14:solidFill>
              <w14:schemeClr w14:val="tx1"/>
            </w14:solidFill>
          </w14:textFill>
        </w:rPr>
        <w:t>.1陕西省政府采购供应商拒绝政府采购领域商业贿赂承诺书</w:t>
      </w:r>
    </w:p>
    <w:p w14:paraId="1D031DA0">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为响应党中央、国务院关于治理政府采购领域商业贿赂行为的号召，我单位作为 </w:t>
      </w:r>
      <w:r>
        <w:rPr>
          <w:rFonts w:hint="eastAsia" w:ascii="宋体" w:hAnsi="宋体" w:eastAsia="宋体" w:cs="宋体"/>
          <w:color w:val="000000"/>
          <w:kern w:val="0"/>
          <w:szCs w:val="24"/>
          <w:highlight w:val="none"/>
          <w:u w:val="single"/>
          <w:lang w:bidi="ar"/>
        </w:rPr>
        <w:t xml:space="preserve">（项目名称） </w:t>
      </w:r>
      <w:r>
        <w:rPr>
          <w:rFonts w:hint="eastAsia" w:ascii="宋体" w:hAnsi="宋体" w:eastAsia="宋体" w:cs="宋体"/>
          <w:color w:val="000000"/>
          <w:kern w:val="0"/>
          <w:szCs w:val="24"/>
          <w:highlight w:val="none"/>
          <w:lang w:bidi="ar"/>
        </w:rPr>
        <w:t xml:space="preserve">的供应商，在此庄严承诺： </w:t>
      </w:r>
    </w:p>
    <w:p w14:paraId="5ED150FE">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1、在参与政府采购活动中遵纪守法、诚信经营、公平竞标。 </w:t>
      </w:r>
    </w:p>
    <w:p w14:paraId="38B05561">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2、不向采购人、采购代理机构和政府采购评审专家进行任何形式的商业贿赂以谋取交易机会。 </w:t>
      </w:r>
    </w:p>
    <w:p w14:paraId="4121A49F">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3、不向政府采购采购代理机构和采购人提供虚假资质文件或采用虚假应标方式参与政府采购市场竞争并谋取中标、成交。 </w:t>
      </w:r>
    </w:p>
    <w:p w14:paraId="1B890CA1">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4、不采取“围标、陪标”等商业欺诈手段获得政府采购定单。 </w:t>
      </w:r>
    </w:p>
    <w:p w14:paraId="6579C3B3">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5、不采取不正当手段低毁、排挤其他供应商。 </w:t>
      </w:r>
    </w:p>
    <w:p w14:paraId="01F08B42">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6、不在提供商品和服务时“偷梁换柱、以次充好”损害采购人的合法权益。 </w:t>
      </w:r>
    </w:p>
    <w:p w14:paraId="261585E5">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7、不与采购人、采购代理机构政府采购评审专家或其它供应商恶意串通，进行 </w:t>
      </w:r>
    </w:p>
    <w:p w14:paraId="509F55D1">
      <w:pPr>
        <w:widowControl/>
        <w:spacing w:line="480" w:lineRule="auto"/>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质疑和投诉，维护政府采购市场秩序。 </w:t>
      </w:r>
    </w:p>
    <w:p w14:paraId="3D6BA6DB">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8、尊重和接受政府采购监督管理部门的监督和政府采购代理机构招标要求，承 </w:t>
      </w:r>
    </w:p>
    <w:p w14:paraId="068586FC">
      <w:pPr>
        <w:widowControl/>
        <w:spacing w:line="480" w:lineRule="auto"/>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担因违约行为给采购人造成的损失。 </w:t>
      </w:r>
    </w:p>
    <w:p w14:paraId="4C3936CD">
      <w:pPr>
        <w:widowControl/>
        <w:spacing w:line="480" w:lineRule="auto"/>
        <w:ind w:firstLine="480" w:firstLineChars="200"/>
        <w:jc w:val="left"/>
        <w:rPr>
          <w:rFonts w:ascii="宋体" w:hAnsi="宋体" w:eastAsia="宋体" w:cs="宋体"/>
          <w:highlight w:val="none"/>
        </w:rPr>
      </w:pPr>
      <w:r>
        <w:rPr>
          <w:rFonts w:hint="eastAsia" w:ascii="宋体" w:hAnsi="宋体" w:eastAsia="宋体" w:cs="宋体"/>
          <w:color w:val="000000"/>
          <w:kern w:val="0"/>
          <w:szCs w:val="24"/>
          <w:highlight w:val="none"/>
          <w:lang w:bidi="ar"/>
        </w:rPr>
        <w:t xml:space="preserve">9、不发生其他有悖于政府采购公开、公平、公正和诚信原则的行为。 </w:t>
      </w:r>
    </w:p>
    <w:p w14:paraId="491EB15B">
      <w:pPr>
        <w:widowControl/>
        <w:spacing w:line="480" w:lineRule="auto"/>
        <w:jc w:val="left"/>
        <w:rPr>
          <w:rFonts w:ascii="宋体" w:hAnsi="宋体" w:eastAsia="宋体" w:cs="宋体"/>
          <w:color w:val="000000"/>
          <w:kern w:val="0"/>
          <w:szCs w:val="24"/>
          <w:highlight w:val="none"/>
          <w:lang w:bidi="ar"/>
        </w:rPr>
      </w:pPr>
    </w:p>
    <w:p w14:paraId="4497F759">
      <w:pPr>
        <w:widowControl/>
        <w:spacing w:line="480" w:lineRule="auto"/>
        <w:ind w:firstLine="4800" w:firstLineChars="2000"/>
        <w:jc w:val="left"/>
        <w:rPr>
          <w:rFonts w:ascii="宋体" w:hAnsi="宋体" w:eastAsia="宋体" w:cs="宋体"/>
          <w:color w:val="000000"/>
          <w:kern w:val="0"/>
          <w:szCs w:val="24"/>
          <w:highlight w:val="none"/>
          <w:lang w:bidi="ar"/>
        </w:rPr>
      </w:pPr>
      <w:r>
        <w:rPr>
          <w:rFonts w:hint="eastAsia" w:ascii="宋体" w:hAnsi="宋体" w:eastAsia="宋体" w:cs="宋体"/>
          <w:color w:val="000000"/>
          <w:kern w:val="0"/>
          <w:szCs w:val="24"/>
          <w:highlight w:val="none"/>
          <w:lang w:bidi="ar"/>
        </w:rPr>
        <w:t xml:space="preserve">承诺单位： （盖章）   </w:t>
      </w:r>
    </w:p>
    <w:p w14:paraId="75E3C7BD">
      <w:pPr>
        <w:widowControl/>
        <w:spacing w:line="480" w:lineRule="auto"/>
        <w:ind w:firstLine="4800" w:firstLineChars="2000"/>
        <w:jc w:val="left"/>
        <w:rPr>
          <w:rFonts w:ascii="宋体" w:hAnsi="宋体" w:eastAsia="宋体" w:cs="宋体"/>
          <w:color w:val="000000"/>
          <w:kern w:val="0"/>
          <w:szCs w:val="24"/>
          <w:highlight w:val="none"/>
          <w:lang w:bidi="ar"/>
        </w:rPr>
      </w:pPr>
      <w:r>
        <w:rPr>
          <w:rFonts w:hint="eastAsia" w:ascii="宋体" w:hAnsi="宋体" w:eastAsia="宋体" w:cs="宋体"/>
          <w:color w:val="000000"/>
          <w:kern w:val="0"/>
          <w:szCs w:val="24"/>
          <w:highlight w:val="none"/>
          <w:lang w:bidi="ar"/>
        </w:rPr>
        <w:t xml:space="preserve"> 年   月   日</w:t>
      </w:r>
    </w:p>
    <w:p w14:paraId="2D8DAA6F">
      <w:pPr>
        <w:spacing w:line="360" w:lineRule="auto"/>
        <w:jc w:val="center"/>
        <w:rPr>
          <w:rFonts w:hint="eastAsia" w:ascii="宋体" w:hAnsi="宋体" w:eastAsia="宋体" w:cs="宋体"/>
          <w:b/>
          <w:bCs/>
          <w:color w:val="000000" w:themeColor="text1"/>
          <w:szCs w:val="24"/>
          <w:highlight w:val="none"/>
          <w:lang w:val="en-US" w:eastAsia="zh-CN"/>
          <w14:textFill>
            <w14:solidFill>
              <w14:schemeClr w14:val="tx1"/>
            </w14:solidFill>
          </w14:textFill>
        </w:rPr>
      </w:pPr>
    </w:p>
    <w:p w14:paraId="2715F5D0">
      <w:pPr>
        <w:spacing w:line="360" w:lineRule="auto"/>
        <w:jc w:val="center"/>
        <w:rPr>
          <w:rFonts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6</w:t>
      </w:r>
      <w:r>
        <w:rPr>
          <w:rFonts w:hint="eastAsia" w:ascii="宋体" w:hAnsi="宋体" w:eastAsia="宋体" w:cs="宋体"/>
          <w:b/>
          <w:bCs/>
          <w:color w:val="000000" w:themeColor="text1"/>
          <w:szCs w:val="24"/>
          <w:highlight w:val="none"/>
          <w14:textFill>
            <w14:solidFill>
              <w14:schemeClr w14:val="tx1"/>
            </w14:solidFill>
          </w14:textFill>
        </w:rPr>
        <w:t>.2宝鸡市政府采购供应商诚信承诺书</w:t>
      </w:r>
    </w:p>
    <w:p w14:paraId="5A6C72B0">
      <w:pPr>
        <w:spacing w:line="360" w:lineRule="auto"/>
        <w:jc w:val="left"/>
        <w:rPr>
          <w:rFonts w:ascii="宋体" w:hAnsi="宋体" w:eastAsia="宋体" w:cs="宋体"/>
          <w:color w:val="000000" w:themeColor="text1"/>
          <w:szCs w:val="24"/>
          <w:highlight w:val="none"/>
          <w:u w:val="singl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致：</w:t>
      </w:r>
      <w:r>
        <w:rPr>
          <w:rFonts w:hint="eastAsia" w:ascii="宋体" w:hAnsi="宋体" w:eastAsia="宋体" w:cs="宋体"/>
          <w:color w:val="000000" w:themeColor="text1"/>
          <w:szCs w:val="24"/>
          <w:highlight w:val="none"/>
          <w:u w:val="single"/>
          <w:lang w:val="zh-CN"/>
          <w14:textFill>
            <w14:solidFill>
              <w14:schemeClr w14:val="tx1"/>
            </w14:solidFill>
          </w14:textFill>
        </w:rPr>
        <w:t>（采购人或采购代理机构名称）</w:t>
      </w:r>
    </w:p>
    <w:p w14:paraId="4A7B3D72">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统一社会信用代码为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的我方</w:t>
      </w:r>
      <w:r>
        <w:rPr>
          <w:rFonts w:hint="eastAsia" w:ascii="宋体" w:hAnsi="宋体" w:eastAsia="宋体" w:cs="宋体"/>
          <w:color w:val="000000" w:themeColor="text1"/>
          <w:szCs w:val="24"/>
          <w:highlight w:val="none"/>
          <w:u w:val="single"/>
          <w:lang w:val="zh-CN"/>
          <w14:textFill>
            <w14:solidFill>
              <w14:schemeClr w14:val="tx1"/>
            </w14:solidFill>
          </w14:textFill>
        </w:rPr>
        <w:t>（供应商名称）</w:t>
      </w:r>
      <w:r>
        <w:rPr>
          <w:rFonts w:hint="eastAsia" w:ascii="宋体" w:hAnsi="宋体" w:eastAsia="宋体" w:cs="宋体"/>
          <w:color w:val="000000" w:themeColor="text1"/>
          <w:szCs w:val="24"/>
          <w:highlight w:val="none"/>
          <w:lang w:val="zh-CN"/>
          <w14:textFill>
            <w14:solidFill>
              <w14:schemeClr w14:val="tx1"/>
            </w14:solidFill>
          </w14:textFill>
        </w:rPr>
        <w:t>自愿参加贵单位组织的编号为</w:t>
      </w:r>
      <w:r>
        <w:rPr>
          <w:rFonts w:hint="eastAsia" w:ascii="宋体" w:hAnsi="宋体" w:eastAsia="宋体" w:cs="宋体"/>
          <w:color w:val="000000" w:themeColor="text1"/>
          <w:szCs w:val="24"/>
          <w:highlight w:val="none"/>
          <w:u w:val="single"/>
          <w:lang w:val="zh-CN"/>
          <w14:textFill>
            <w14:solidFill>
              <w14:schemeClr w14:val="tx1"/>
            </w14:solidFill>
          </w14:textFill>
        </w:rPr>
        <w:t>（项目编号）</w:t>
      </w:r>
      <w:r>
        <w:rPr>
          <w:rFonts w:hint="eastAsia" w:ascii="宋体" w:hAnsi="宋体" w:eastAsia="宋体" w:cs="宋体"/>
          <w:color w:val="000000" w:themeColor="text1"/>
          <w:szCs w:val="24"/>
          <w:highlight w:val="none"/>
          <w:lang w:val="zh-CN"/>
          <w14:textFill>
            <w14:solidFill>
              <w14:schemeClr w14:val="tx1"/>
            </w14:solidFill>
          </w14:textFill>
        </w:rPr>
        <w:t>的</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（项目名称）</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的政府采购活动，我方已知悉并理解本项目</w:t>
      </w:r>
      <w:r>
        <w:rPr>
          <w:rFonts w:hint="eastAsia" w:ascii="宋体" w:hAnsi="宋体" w:eastAsia="宋体" w:cs="宋体"/>
          <w:color w:val="000000" w:themeColor="text1"/>
          <w:szCs w:val="24"/>
          <w:highlight w:val="none"/>
          <w14:textFill>
            <w14:solidFill>
              <w14:schemeClr w14:val="tx1"/>
            </w14:solidFill>
          </w14:textFill>
        </w:rPr>
        <w:t>竞争性磋商文件</w:t>
      </w:r>
      <w:r>
        <w:rPr>
          <w:rFonts w:hint="eastAsia" w:ascii="宋体" w:hAnsi="宋体" w:eastAsia="宋体" w:cs="宋体"/>
          <w:color w:val="000000" w:themeColor="text1"/>
          <w:szCs w:val="24"/>
          <w:highlight w:val="none"/>
          <w:lang w:val="zh-CN"/>
          <w14:textFill>
            <w14:solidFill>
              <w14:schemeClr w14:val="tx1"/>
            </w14:solidFill>
          </w14:textFill>
        </w:rPr>
        <w:t>的各项要求为贯彻公开、公平、公正和诚实信用的政府采购原则，共同维护宝鸡市政府采购市场良好秩序，我方郑重声明和承诺如下：</w:t>
      </w:r>
    </w:p>
    <w:p w14:paraId="7B525882">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一、在参加本次政府采购活动中严格遵守《中</w:t>
      </w:r>
      <w:r>
        <w:rPr>
          <w:rFonts w:hint="eastAsia" w:ascii="宋体" w:hAnsi="宋体" w:eastAsia="宋体" w:cs="宋体"/>
          <w:color w:val="000000" w:themeColor="text1"/>
          <w:szCs w:val="24"/>
          <w:highlight w:val="none"/>
          <w:lang w:val="zh-CN" w:eastAsia="zh-CN"/>
          <w14:textFill>
            <w14:solidFill>
              <w14:schemeClr w14:val="tx1"/>
            </w14:solidFill>
          </w14:textFill>
        </w:rPr>
        <w:t>华</w:t>
      </w:r>
      <w:r>
        <w:rPr>
          <w:rFonts w:hint="eastAsia" w:ascii="宋体" w:hAnsi="宋体" w:eastAsia="宋体" w:cs="宋体"/>
          <w:color w:val="000000" w:themeColor="text1"/>
          <w:szCs w:val="24"/>
          <w:highlight w:val="none"/>
          <w:lang w:val="zh-CN"/>
          <w14:textFill>
            <w14:solidFill>
              <w14:schemeClr w14:val="tx1"/>
            </w14:solidFill>
          </w14:textFill>
        </w:rPr>
        <w:t>人民共和国政府采购法》等法律、法规、规章及宝鸡市有关规定。</w:t>
      </w:r>
    </w:p>
    <w:p w14:paraId="6E5AAAA9">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二、我方郑重声明，在参加本次政府采购活动前三年内，无因违法经营受到刑事处罚或者责令停产停业、吊销许可证或者执照较大数额罚款等重大违法记录。</w:t>
      </w:r>
    </w:p>
    <w:p w14:paraId="681DDCD1">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我方同时声明，在参加本次政府采购活动前，未被列入失信被执行人、重大税收违法案件当事人名单、政府采购严重违法失信行为记录名单，我方对以上声明的真实性负责，接受采购人、采购代理机构根据相关政策规定进行的信用记录查询。如发现以上声明不实，我方承担相应后果。</w:t>
      </w:r>
    </w:p>
    <w:p w14:paraId="482DDAF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三、我方郑重承诺，在参加本次政府采购活动中：</w:t>
      </w:r>
    </w:p>
    <w:p w14:paraId="44C8D07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(1）不向采购人、采购代理机构和评审专家提供任何形式的商业贿赂或者提供其他不正当利益。对索取或接受商业贿赂的单位和个人，及时向财政部门和监察机关举报；</w:t>
      </w:r>
    </w:p>
    <w:p w14:paraId="5643E07D">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(2）不与其它供应商串通采取围标、陪标等商业欺诈手段谋取中标(成交)；</w:t>
      </w:r>
    </w:p>
    <w:p w14:paraId="5E22624B">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3</w:t>
      </w:r>
      <w:r>
        <w:rPr>
          <w:rFonts w:hint="eastAsia" w:ascii="宋体" w:hAnsi="宋体" w:eastAsia="宋体" w:cs="宋体"/>
          <w:color w:val="000000" w:themeColor="text1"/>
          <w:szCs w:val="24"/>
          <w:highlight w:val="none"/>
          <w:lang w:val="zh-CN"/>
          <w14:textFill>
            <w14:solidFill>
              <w14:schemeClr w14:val="tx1"/>
            </w14:solidFill>
          </w14:textFill>
        </w:rPr>
        <w:t>）不出借或借用资质；</w:t>
      </w:r>
    </w:p>
    <w:p w14:paraId="7DC1EF72">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4</w:t>
      </w:r>
      <w:r>
        <w:rPr>
          <w:rFonts w:hint="eastAsia" w:ascii="宋体" w:hAnsi="宋体" w:eastAsia="宋体" w:cs="宋体"/>
          <w:color w:val="000000" w:themeColor="text1"/>
          <w:szCs w:val="24"/>
          <w:highlight w:val="none"/>
          <w:lang w:val="zh-CN"/>
          <w14:textFill>
            <w14:solidFill>
              <w14:schemeClr w14:val="tx1"/>
            </w14:solidFill>
          </w14:textFill>
        </w:rPr>
        <w:t>）不与采购人、采购代理机构、评审专家恶意串通；</w:t>
      </w:r>
    </w:p>
    <w:p w14:paraId="606C98C7">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5</w:t>
      </w:r>
      <w:r>
        <w:rPr>
          <w:rFonts w:hint="eastAsia" w:ascii="宋体" w:hAnsi="宋体" w:eastAsia="宋体" w:cs="宋体"/>
          <w:color w:val="000000" w:themeColor="text1"/>
          <w:szCs w:val="24"/>
          <w:highlight w:val="none"/>
          <w:lang w:val="zh-CN"/>
          <w14:textFill>
            <w14:solidFill>
              <w14:schemeClr w14:val="tx1"/>
            </w14:solidFill>
          </w14:textFill>
        </w:rPr>
        <w:t>）不采取不正当手段诋毁、排挤其他供应商；</w:t>
      </w:r>
    </w:p>
    <w:p w14:paraId="27AAC993">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6</w:t>
      </w:r>
      <w:r>
        <w:rPr>
          <w:rFonts w:hint="eastAsia" w:ascii="宋体" w:hAnsi="宋体" w:eastAsia="宋体" w:cs="宋体"/>
          <w:color w:val="000000" w:themeColor="text1"/>
          <w:szCs w:val="24"/>
          <w:highlight w:val="none"/>
          <w:lang w:val="zh-CN"/>
          <w14:textFill>
            <w14:solidFill>
              <w14:schemeClr w14:val="tx1"/>
            </w14:solidFill>
          </w14:textFill>
        </w:rPr>
        <w:t>）不以虚假材料谋取中标(成交)；</w:t>
      </w:r>
    </w:p>
    <w:p w14:paraId="495F5385">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7</w:t>
      </w:r>
      <w:r>
        <w:rPr>
          <w:rFonts w:hint="eastAsia" w:ascii="宋体" w:hAnsi="宋体" w:eastAsia="宋体" w:cs="宋体"/>
          <w:color w:val="000000" w:themeColor="text1"/>
          <w:szCs w:val="24"/>
          <w:highlight w:val="none"/>
          <w:lang w:val="zh-CN"/>
          <w14:textFill>
            <w14:solidFill>
              <w14:schemeClr w14:val="tx1"/>
            </w14:solidFill>
          </w14:textFill>
        </w:rPr>
        <w:t>）不以低于成本价或恶意低价竞争；</w:t>
      </w:r>
    </w:p>
    <w:p w14:paraId="31620FB9">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8</w:t>
      </w:r>
      <w:r>
        <w:rPr>
          <w:rFonts w:hint="eastAsia" w:ascii="宋体" w:hAnsi="宋体" w:eastAsia="宋体" w:cs="宋体"/>
          <w:color w:val="000000" w:themeColor="text1"/>
          <w:szCs w:val="24"/>
          <w:highlight w:val="none"/>
          <w:lang w:val="zh-CN"/>
          <w14:textFill>
            <w14:solidFill>
              <w14:schemeClr w14:val="tx1"/>
            </w14:solidFill>
          </w14:textFill>
        </w:rPr>
        <w:t>）不与采购人在招标采购过程中进行协商磋商；</w:t>
      </w:r>
    </w:p>
    <w:p w14:paraId="2903044B">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9</w:t>
      </w:r>
      <w:r>
        <w:rPr>
          <w:rFonts w:hint="eastAsia" w:ascii="宋体" w:hAnsi="宋体" w:eastAsia="宋体" w:cs="宋体"/>
          <w:color w:val="000000" w:themeColor="text1"/>
          <w:szCs w:val="24"/>
          <w:highlight w:val="none"/>
          <w:lang w:val="zh-CN"/>
          <w14:textFill>
            <w14:solidFill>
              <w14:schemeClr w14:val="tx1"/>
            </w14:solidFill>
          </w14:textFill>
        </w:rPr>
        <w:t>）中标或者成交后不得提供假冒伪劣产品；</w:t>
      </w:r>
    </w:p>
    <w:p w14:paraId="49F2EE7A">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10</w:t>
      </w:r>
      <w:r>
        <w:rPr>
          <w:rFonts w:hint="eastAsia" w:ascii="宋体" w:hAnsi="宋体" w:eastAsia="宋体" w:cs="宋体"/>
          <w:color w:val="000000" w:themeColor="text1"/>
          <w:szCs w:val="24"/>
          <w:highlight w:val="none"/>
          <w:lang w:val="zh-CN"/>
          <w14:textFill>
            <w14:solidFill>
              <w14:schemeClr w14:val="tx1"/>
            </w14:solidFill>
          </w14:textFill>
        </w:rPr>
        <w:t>）中标或者成交后非因不可抗力不得变更投标(响应)文件中承诺的项目管理实施人员；</w:t>
      </w:r>
    </w:p>
    <w:p w14:paraId="61C5B44C">
      <w:pPr>
        <w:spacing w:line="360" w:lineRule="auto"/>
        <w:ind w:firstLine="374" w:firstLineChars="156"/>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11</w:t>
      </w:r>
      <w:r>
        <w:rPr>
          <w:rFonts w:hint="eastAsia" w:ascii="宋体" w:hAnsi="宋体" w:eastAsia="宋体" w:cs="宋体"/>
          <w:color w:val="000000" w:themeColor="text1"/>
          <w:szCs w:val="24"/>
          <w:highlight w:val="none"/>
          <w:lang w:val="zh-CN"/>
          <w14:textFill>
            <w14:solidFill>
              <w14:schemeClr w14:val="tx1"/>
            </w14:solidFill>
          </w14:textFill>
        </w:rPr>
        <w:t>）中标或者成交后无正当理由不得拒不与采购人签订政府采购合同；</w:t>
      </w:r>
    </w:p>
    <w:p w14:paraId="3A2931A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(12)</w:t>
      </w:r>
      <w:r>
        <w:rPr>
          <w:rFonts w:hint="eastAsia" w:ascii="宋体" w:hAnsi="宋体" w:eastAsia="宋体" w:cs="宋体"/>
          <w:color w:val="000000" w:themeColor="text1"/>
          <w:szCs w:val="24"/>
          <w:highlight w:val="none"/>
          <w:lang w:val="zh-CN"/>
          <w14:textFill>
            <w14:solidFill>
              <w14:schemeClr w14:val="tx1"/>
            </w14:solidFill>
          </w14:textFill>
        </w:rPr>
        <w:t>不得有未按照</w:t>
      </w:r>
      <w:r>
        <w:rPr>
          <w:rFonts w:hint="eastAsia" w:ascii="宋体" w:hAnsi="宋体" w:eastAsia="宋体" w:cs="宋体"/>
          <w:color w:val="000000" w:themeColor="text1"/>
          <w:szCs w:val="24"/>
          <w:highlight w:val="none"/>
          <w14:textFill>
            <w14:solidFill>
              <w14:schemeClr w14:val="tx1"/>
            </w14:solidFill>
          </w14:textFill>
        </w:rPr>
        <w:t>竞争性磋商文件</w:t>
      </w:r>
      <w:r>
        <w:rPr>
          <w:rFonts w:hint="eastAsia" w:ascii="宋体" w:hAnsi="宋体" w:eastAsia="宋体" w:cs="宋体"/>
          <w:color w:val="000000" w:themeColor="text1"/>
          <w:szCs w:val="24"/>
          <w:highlight w:val="none"/>
          <w:lang w:val="zh-CN"/>
          <w14:textFill>
            <w14:solidFill>
              <w14:schemeClr w14:val="tx1"/>
            </w14:solidFill>
          </w14:textFill>
        </w:rPr>
        <w:t>确定的事项与采购人签订政府采购合同，或者与采购人另行订立背离合同实质性内容协议的行为；</w:t>
      </w:r>
    </w:p>
    <w:p w14:paraId="64604CB7">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(13）不转包或违法分包政府采购合同，不擅自变更.中止或者终止政府采购合同；</w:t>
      </w:r>
    </w:p>
    <w:p w14:paraId="3F35AAD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(14)</w:t>
      </w:r>
      <w:r>
        <w:rPr>
          <w:rFonts w:hint="eastAsia" w:ascii="宋体" w:hAnsi="宋体" w:eastAsia="宋体" w:cs="宋体"/>
          <w:color w:val="000000" w:themeColor="text1"/>
          <w:szCs w:val="24"/>
          <w:highlight w:val="none"/>
          <w:lang w:val="zh-CN"/>
          <w14:textFill>
            <w14:solidFill>
              <w14:schemeClr w14:val="tx1"/>
            </w14:solidFill>
          </w14:textFill>
        </w:rPr>
        <w:t>不捏造事实、提供虚假材料或者以非法手段取得证明材料进行质疑投诉；</w:t>
      </w:r>
    </w:p>
    <w:p w14:paraId="0129269E">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w:t>
      </w:r>
      <w:r>
        <w:rPr>
          <w:rFonts w:hint="eastAsia" w:ascii="宋体" w:hAnsi="宋体" w:eastAsia="宋体" w:cs="宋体"/>
          <w:color w:val="000000" w:themeColor="text1"/>
          <w:szCs w:val="24"/>
          <w:highlight w:val="none"/>
          <w:lang w:val="zh-CN"/>
          <w14:textFill>
            <w14:solidFill>
              <w14:schemeClr w14:val="tx1"/>
            </w14:solidFill>
          </w14:textFill>
        </w:rPr>
        <w:t>15</w:t>
      </w:r>
      <w:r>
        <w:rPr>
          <w:rFonts w:hint="eastAsia" w:ascii="宋体" w:hAnsi="宋体" w:eastAsia="宋体" w:cs="宋体"/>
          <w:color w:val="000000" w:themeColor="text1"/>
          <w:szCs w:val="24"/>
          <w:highlight w:val="none"/>
          <w:lang w:val="zh-CN" w:eastAsia="en-US"/>
          <w14:textFill>
            <w14:solidFill>
              <w14:schemeClr w14:val="tx1"/>
            </w14:solidFill>
          </w14:textFill>
        </w:rPr>
        <w:t>)</w:t>
      </w:r>
      <w:r>
        <w:rPr>
          <w:rFonts w:hint="eastAsia" w:ascii="宋体" w:hAnsi="宋体" w:eastAsia="宋体" w:cs="宋体"/>
          <w:color w:val="000000" w:themeColor="text1"/>
          <w:szCs w:val="24"/>
          <w:highlight w:val="none"/>
          <w:lang w:val="zh-CN"/>
          <w14:textFill>
            <w14:solidFill>
              <w14:schemeClr w14:val="tx1"/>
            </w14:solidFill>
          </w14:textFill>
        </w:rPr>
        <w:t>不得有拒绝有关部门监督检查或者提供虚假情况的行为；</w:t>
      </w:r>
    </w:p>
    <w:p w14:paraId="2BC42A75">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eastAsia="en-US"/>
          <w14:textFill>
            <w14:solidFill>
              <w14:schemeClr w14:val="tx1"/>
            </w14:solidFill>
          </w14:textFill>
        </w:rPr>
        <w:t>(16)</w:t>
      </w:r>
      <w:r>
        <w:rPr>
          <w:rFonts w:hint="eastAsia" w:ascii="宋体" w:hAnsi="宋体" w:eastAsia="宋体" w:cs="宋体"/>
          <w:color w:val="000000" w:themeColor="text1"/>
          <w:szCs w:val="24"/>
          <w:highlight w:val="none"/>
          <w:lang w:val="zh-CN"/>
          <w14:textFill>
            <w14:solidFill>
              <w14:schemeClr w14:val="tx1"/>
            </w14:solidFill>
          </w14:textFill>
        </w:rPr>
        <w:t>不得有其他违反国家法律法规和规章要求的违法犯罪或者失信行为。</w:t>
      </w:r>
    </w:p>
    <w:p w14:paraId="1CED7A13">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四、如有违反以上声明或者承诺之一情形的，我方知悉并接受采购人、采购代理机构和政府采购监督管理部门等政府职能部门将采取以下一种或几种方式追究我方责任：</w:t>
      </w:r>
    </w:p>
    <w:p w14:paraId="3DEB875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1、投标(响应)无效；</w:t>
      </w:r>
    </w:p>
    <w:p w14:paraId="5250C38E">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2、不予退还磋商保证金或者履约保证金；</w:t>
      </w:r>
    </w:p>
    <w:p w14:paraId="3E6F56D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3、约谈法人代表或者主要负责人，责令整改；</w:t>
      </w:r>
    </w:p>
    <w:p w14:paraId="7498A7E7">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4、中标(成交)无效；</w:t>
      </w:r>
    </w:p>
    <w:p w14:paraId="079C34A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5、处以采购金额千分之五以上千分之十以下的罚款，列入不良行为记录名单，在一至三年内禁止参加政府采购活动；</w:t>
      </w:r>
    </w:p>
    <w:p w14:paraId="66B3177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6、没收违法得所得；</w:t>
      </w:r>
    </w:p>
    <w:p w14:paraId="3E229CDC">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7、吊销营业执照；</w:t>
      </w:r>
    </w:p>
    <w:p w14:paraId="6B82DF4F">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8、政府相关部门的联合惩戒措施；</w:t>
      </w:r>
    </w:p>
    <w:p w14:paraId="651342D5">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9、追究民事责任；</w:t>
      </w:r>
    </w:p>
    <w:p w14:paraId="05A0860B">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10、追究刑事责任；</w:t>
      </w:r>
    </w:p>
    <w:p w14:paraId="181F50A3">
      <w:pPr>
        <w:spacing w:line="360" w:lineRule="auto"/>
        <w:ind w:firstLine="480" w:firstLineChars="2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11、法律法规规定的其他处理处罚措施。</w:t>
      </w:r>
    </w:p>
    <w:p w14:paraId="4788AC6C">
      <w:pPr>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单位名称（公章）：</w:t>
      </w:r>
    </w:p>
    <w:p w14:paraId="2699D088">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法定代表人或主要负责人签字：</w:t>
      </w:r>
    </w:p>
    <w:p w14:paraId="53069988">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法定代表人或主要负责人身份证复印件：</w:t>
      </w:r>
    </w:p>
    <w:p w14:paraId="2902BF34">
      <w:pPr>
        <w:autoSpaceDE w:val="0"/>
        <w:autoSpaceDN w:val="0"/>
        <w:adjustRightInd w:val="0"/>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法定代表人或主要负责人联系电话：</w:t>
      </w:r>
    </w:p>
    <w:p w14:paraId="6F01E5B5">
      <w:pPr>
        <w:spacing w:line="360" w:lineRule="auto"/>
        <w:ind w:firstLine="240" w:firstLineChars="100"/>
        <w:jc w:val="left"/>
        <w:rPr>
          <w:rFonts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法定代表人或主要负责人邮箱：</w:t>
      </w:r>
    </w:p>
    <w:p w14:paraId="3AD3E601">
      <w:pPr>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color w:val="000000" w:themeColor="text1"/>
          <w:kern w:val="0"/>
          <w:sz w:val="28"/>
          <w:highlight w:val="none"/>
          <w14:textFill>
            <w14:solidFill>
              <w14:schemeClr w14:val="tx1"/>
            </w14:solidFill>
          </w14:textFill>
        </w:rPr>
        <w:br w:type="page"/>
      </w:r>
    </w:p>
    <w:bookmarkEnd w:id="126"/>
    <w:bookmarkEnd w:id="127"/>
    <w:bookmarkEnd w:id="128"/>
    <w:bookmarkEnd w:id="129"/>
    <w:bookmarkEnd w:id="130"/>
    <w:bookmarkEnd w:id="131"/>
    <w:bookmarkEnd w:id="132"/>
    <w:bookmarkEnd w:id="133"/>
    <w:bookmarkEnd w:id="134"/>
    <w:bookmarkEnd w:id="135"/>
    <w:bookmarkEnd w:id="136"/>
    <w:p w14:paraId="766CD6F0">
      <w:pPr>
        <w:pStyle w:val="57"/>
        <w:spacing w:line="480" w:lineRule="auto"/>
        <w:ind w:firstLineChars="71"/>
        <w:jc w:val="center"/>
        <w:rPr>
          <w:rFonts w:ascii="宋体" w:hAnsi="宋体" w:eastAsia="宋体" w:cs="宋体"/>
          <w:b/>
          <w:color w:val="000000" w:themeColor="text1"/>
          <w:highlight w:val="none"/>
          <w14:textFill>
            <w14:solidFill>
              <w14:schemeClr w14:val="tx1"/>
            </w14:solidFill>
          </w14:textFill>
        </w:rPr>
      </w:pPr>
      <w:bookmarkStart w:id="137" w:name="_Toc459048317"/>
      <w:bookmarkStart w:id="138" w:name="_Toc458774257"/>
      <w:bookmarkStart w:id="139" w:name="_Toc188808842"/>
      <w:bookmarkStart w:id="140" w:name="_Toc193126891"/>
      <w:bookmarkStart w:id="141" w:name="_Toc188808855"/>
      <w:bookmarkStart w:id="142" w:name="_Toc193126905"/>
      <w:bookmarkStart w:id="143" w:name="_Toc194663942"/>
      <w:bookmarkStart w:id="144" w:name="_Toc193187111"/>
      <w:r>
        <w:rPr>
          <w:rFonts w:hint="eastAsia" w:ascii="宋体" w:hAnsi="宋体" w:eastAsia="宋体" w:cs="宋体"/>
          <w:b/>
          <w:color w:val="000000" w:themeColor="text1"/>
          <w:highlight w:val="none"/>
          <w14:textFill>
            <w14:solidFill>
              <w14:schemeClr w14:val="tx1"/>
            </w14:solidFill>
          </w14:textFill>
        </w:rPr>
        <w:t>四、响应方案</w:t>
      </w:r>
    </w:p>
    <w:bookmarkEnd w:id="137"/>
    <w:bookmarkEnd w:id="138"/>
    <w:p w14:paraId="0DF054C0">
      <w:pPr>
        <w:pStyle w:val="57"/>
        <w:spacing w:line="480" w:lineRule="auto"/>
        <w:ind w:firstLine="0" w:firstLineChars="0"/>
        <w:jc w:val="center"/>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1、供应商概况及其性质</w:t>
      </w:r>
    </w:p>
    <w:tbl>
      <w:tblPr>
        <w:tblStyle w:val="37"/>
        <w:tblW w:w="89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22"/>
        <w:gridCol w:w="1492"/>
        <w:gridCol w:w="1184"/>
        <w:gridCol w:w="1113"/>
        <w:gridCol w:w="178"/>
        <w:gridCol w:w="2344"/>
      </w:tblGrid>
      <w:tr w14:paraId="14BAE9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586" w:type="dxa"/>
            <w:vAlign w:val="center"/>
          </w:tcPr>
          <w:p w14:paraId="435D755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供应商名称</w:t>
            </w:r>
          </w:p>
        </w:tc>
        <w:tc>
          <w:tcPr>
            <w:tcW w:w="7333" w:type="dxa"/>
            <w:gridSpan w:val="6"/>
            <w:vAlign w:val="center"/>
          </w:tcPr>
          <w:p w14:paraId="7749CBF4">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3D9F9E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14" w:hRule="atLeast"/>
          <w:jc w:val="center"/>
        </w:trPr>
        <w:tc>
          <w:tcPr>
            <w:tcW w:w="1586" w:type="dxa"/>
            <w:vAlign w:val="center"/>
          </w:tcPr>
          <w:p w14:paraId="1B225C31">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注册地址</w:t>
            </w:r>
          </w:p>
        </w:tc>
        <w:tc>
          <w:tcPr>
            <w:tcW w:w="3698" w:type="dxa"/>
            <w:gridSpan w:val="3"/>
            <w:vAlign w:val="center"/>
          </w:tcPr>
          <w:p w14:paraId="658A28B2">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35B1F266">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邮政编码</w:t>
            </w:r>
          </w:p>
        </w:tc>
        <w:tc>
          <w:tcPr>
            <w:tcW w:w="2344" w:type="dxa"/>
            <w:vAlign w:val="center"/>
          </w:tcPr>
          <w:p w14:paraId="1863E885">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6C660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restart"/>
            <w:vAlign w:val="center"/>
          </w:tcPr>
          <w:p w14:paraId="11A35A1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p>
        </w:tc>
        <w:tc>
          <w:tcPr>
            <w:tcW w:w="1022" w:type="dxa"/>
            <w:vAlign w:val="center"/>
          </w:tcPr>
          <w:p w14:paraId="7160F1F2">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p>
        </w:tc>
        <w:tc>
          <w:tcPr>
            <w:tcW w:w="2676" w:type="dxa"/>
            <w:gridSpan w:val="2"/>
            <w:vAlign w:val="center"/>
          </w:tcPr>
          <w:p w14:paraId="2A0030E5">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579E3E74">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电话</w:t>
            </w:r>
          </w:p>
        </w:tc>
        <w:tc>
          <w:tcPr>
            <w:tcW w:w="2344" w:type="dxa"/>
            <w:vAlign w:val="center"/>
          </w:tcPr>
          <w:p w14:paraId="08A3B61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6A490B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continue"/>
            <w:vAlign w:val="center"/>
          </w:tcPr>
          <w:p w14:paraId="71EEDB43">
            <w:pPr>
              <w:spacing w:line="600" w:lineRule="exact"/>
              <w:rPr>
                <w:rFonts w:ascii="宋体" w:hAnsi="宋体" w:eastAsia="宋体" w:cs="宋体"/>
                <w:color w:val="000000" w:themeColor="text1"/>
                <w:szCs w:val="24"/>
                <w:highlight w:val="none"/>
                <w14:textFill>
                  <w14:solidFill>
                    <w14:schemeClr w14:val="tx1"/>
                  </w14:solidFill>
                </w14:textFill>
              </w:rPr>
            </w:pPr>
          </w:p>
        </w:tc>
        <w:tc>
          <w:tcPr>
            <w:tcW w:w="1022" w:type="dxa"/>
            <w:vAlign w:val="center"/>
          </w:tcPr>
          <w:p w14:paraId="485284C3">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传真</w:t>
            </w:r>
          </w:p>
        </w:tc>
        <w:tc>
          <w:tcPr>
            <w:tcW w:w="2676" w:type="dxa"/>
            <w:gridSpan w:val="2"/>
            <w:vAlign w:val="center"/>
          </w:tcPr>
          <w:p w14:paraId="48D7962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291" w:type="dxa"/>
            <w:gridSpan w:val="2"/>
            <w:vAlign w:val="center"/>
          </w:tcPr>
          <w:p w14:paraId="2473108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网址</w:t>
            </w:r>
          </w:p>
        </w:tc>
        <w:tc>
          <w:tcPr>
            <w:tcW w:w="2344" w:type="dxa"/>
            <w:vAlign w:val="center"/>
          </w:tcPr>
          <w:p w14:paraId="108CF0B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07D9A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586" w:type="dxa"/>
            <w:vAlign w:val="center"/>
          </w:tcPr>
          <w:p w14:paraId="427797A9">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组织结构</w:t>
            </w:r>
          </w:p>
        </w:tc>
        <w:tc>
          <w:tcPr>
            <w:tcW w:w="7333" w:type="dxa"/>
            <w:gridSpan w:val="6"/>
            <w:vAlign w:val="center"/>
          </w:tcPr>
          <w:p w14:paraId="0FE49A73">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r>
      <w:tr w14:paraId="5A92DD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86" w:type="dxa"/>
            <w:vAlign w:val="center"/>
          </w:tcPr>
          <w:p w14:paraId="19B559F8">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法定代表人</w:t>
            </w:r>
          </w:p>
        </w:tc>
        <w:tc>
          <w:tcPr>
            <w:tcW w:w="1022" w:type="dxa"/>
            <w:vAlign w:val="center"/>
          </w:tcPr>
          <w:p w14:paraId="1E9C675F">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姓名</w:t>
            </w:r>
          </w:p>
        </w:tc>
        <w:tc>
          <w:tcPr>
            <w:tcW w:w="1492" w:type="dxa"/>
            <w:vAlign w:val="center"/>
          </w:tcPr>
          <w:p w14:paraId="72783D50">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1184" w:type="dxa"/>
            <w:vAlign w:val="center"/>
          </w:tcPr>
          <w:p w14:paraId="71AEADEC">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电话</w:t>
            </w:r>
          </w:p>
        </w:tc>
        <w:tc>
          <w:tcPr>
            <w:tcW w:w="3635" w:type="dxa"/>
            <w:gridSpan w:val="3"/>
            <w:vAlign w:val="center"/>
          </w:tcPr>
          <w:p w14:paraId="7CC7EAD0">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00839B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586" w:type="dxa"/>
            <w:vAlign w:val="center"/>
          </w:tcPr>
          <w:p w14:paraId="3C889B31">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成立时间</w:t>
            </w:r>
          </w:p>
        </w:tc>
        <w:tc>
          <w:tcPr>
            <w:tcW w:w="2514" w:type="dxa"/>
            <w:gridSpan w:val="2"/>
            <w:vAlign w:val="center"/>
          </w:tcPr>
          <w:p w14:paraId="054432BF">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p>
        </w:tc>
        <w:tc>
          <w:tcPr>
            <w:tcW w:w="2297" w:type="dxa"/>
            <w:gridSpan w:val="2"/>
            <w:vAlign w:val="center"/>
          </w:tcPr>
          <w:p w14:paraId="7550CCD4">
            <w:pPr>
              <w:autoSpaceDE w:val="0"/>
              <w:autoSpaceDN w:val="0"/>
              <w:adjustRightInd w:val="0"/>
              <w:spacing w:line="6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员工总人数：</w:t>
            </w:r>
          </w:p>
        </w:tc>
        <w:tc>
          <w:tcPr>
            <w:tcW w:w="2522" w:type="dxa"/>
            <w:gridSpan w:val="2"/>
            <w:vAlign w:val="center"/>
          </w:tcPr>
          <w:p w14:paraId="316FF6EA">
            <w:pPr>
              <w:autoSpaceDE w:val="0"/>
              <w:autoSpaceDN w:val="0"/>
              <w:adjustRightInd w:val="0"/>
              <w:spacing w:line="600" w:lineRule="exact"/>
              <w:rPr>
                <w:rFonts w:ascii="宋体" w:hAnsi="宋体" w:eastAsia="宋体" w:cs="宋体"/>
                <w:color w:val="000000" w:themeColor="text1"/>
                <w:szCs w:val="24"/>
                <w:highlight w:val="none"/>
                <w14:textFill>
                  <w14:solidFill>
                    <w14:schemeClr w14:val="tx1"/>
                  </w14:solidFill>
                </w14:textFill>
              </w:rPr>
            </w:pPr>
          </w:p>
        </w:tc>
      </w:tr>
      <w:tr w14:paraId="37D1E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586" w:type="dxa"/>
            <w:vAlign w:val="center"/>
          </w:tcPr>
          <w:p w14:paraId="3C92156E">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注册资金</w:t>
            </w:r>
          </w:p>
        </w:tc>
        <w:tc>
          <w:tcPr>
            <w:tcW w:w="7333" w:type="dxa"/>
            <w:gridSpan w:val="6"/>
            <w:vAlign w:val="center"/>
          </w:tcPr>
          <w:p w14:paraId="29F2A7EA">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3F78A6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586" w:type="dxa"/>
            <w:vAlign w:val="center"/>
          </w:tcPr>
          <w:p w14:paraId="4E3CF276">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开户银行</w:t>
            </w:r>
          </w:p>
        </w:tc>
        <w:tc>
          <w:tcPr>
            <w:tcW w:w="7333" w:type="dxa"/>
            <w:gridSpan w:val="6"/>
            <w:vAlign w:val="center"/>
          </w:tcPr>
          <w:p w14:paraId="5E45C3C0">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7E1E62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86" w:type="dxa"/>
            <w:vAlign w:val="center"/>
          </w:tcPr>
          <w:p w14:paraId="1D0C261D">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账号</w:t>
            </w:r>
          </w:p>
        </w:tc>
        <w:tc>
          <w:tcPr>
            <w:tcW w:w="7333" w:type="dxa"/>
            <w:gridSpan w:val="6"/>
            <w:vAlign w:val="center"/>
          </w:tcPr>
          <w:p w14:paraId="417D9EBC">
            <w:pPr>
              <w:autoSpaceDE w:val="0"/>
              <w:autoSpaceDN w:val="0"/>
              <w:adjustRightInd w:val="0"/>
              <w:spacing w:line="600" w:lineRule="exact"/>
              <w:jc w:val="center"/>
              <w:rPr>
                <w:rFonts w:ascii="宋体" w:hAnsi="宋体" w:eastAsia="宋体" w:cs="宋体"/>
                <w:b/>
                <w:bCs/>
                <w:color w:val="000000" w:themeColor="text1"/>
                <w:szCs w:val="24"/>
                <w:highlight w:val="none"/>
                <w14:textFill>
                  <w14:solidFill>
                    <w14:schemeClr w14:val="tx1"/>
                  </w14:solidFill>
                </w14:textFill>
              </w:rPr>
            </w:pPr>
          </w:p>
        </w:tc>
      </w:tr>
      <w:tr w14:paraId="10AFD5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24" w:hRule="atLeast"/>
          <w:jc w:val="center"/>
        </w:trPr>
        <w:tc>
          <w:tcPr>
            <w:tcW w:w="1586" w:type="dxa"/>
            <w:vAlign w:val="center"/>
          </w:tcPr>
          <w:p w14:paraId="62B4C477">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经营范围</w:t>
            </w:r>
          </w:p>
        </w:tc>
        <w:tc>
          <w:tcPr>
            <w:tcW w:w="7333" w:type="dxa"/>
            <w:gridSpan w:val="6"/>
            <w:vAlign w:val="center"/>
          </w:tcPr>
          <w:p w14:paraId="1A232B9C">
            <w:pPr>
              <w:autoSpaceDE w:val="0"/>
              <w:autoSpaceDN w:val="0"/>
              <w:adjustRightInd w:val="0"/>
              <w:spacing w:line="600" w:lineRule="exact"/>
              <w:rPr>
                <w:rFonts w:ascii="宋体" w:hAnsi="宋体" w:eastAsia="宋体" w:cs="宋体"/>
                <w:b/>
                <w:bCs/>
                <w:color w:val="000000" w:themeColor="text1"/>
                <w:szCs w:val="24"/>
                <w:highlight w:val="none"/>
                <w14:textFill>
                  <w14:solidFill>
                    <w14:schemeClr w14:val="tx1"/>
                  </w14:solidFill>
                </w14:textFill>
              </w:rPr>
            </w:pPr>
          </w:p>
        </w:tc>
      </w:tr>
      <w:tr w14:paraId="595EC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1586" w:type="dxa"/>
            <w:vAlign w:val="center"/>
          </w:tcPr>
          <w:p w14:paraId="2955AB6C">
            <w:pPr>
              <w:autoSpaceDE w:val="0"/>
              <w:autoSpaceDN w:val="0"/>
              <w:adjustRightInd w:val="0"/>
              <w:spacing w:line="6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备注</w:t>
            </w:r>
          </w:p>
        </w:tc>
        <w:tc>
          <w:tcPr>
            <w:tcW w:w="7333" w:type="dxa"/>
            <w:gridSpan w:val="6"/>
          </w:tcPr>
          <w:p w14:paraId="04A90301">
            <w:pPr>
              <w:autoSpaceDE w:val="0"/>
              <w:autoSpaceDN w:val="0"/>
              <w:adjustRightInd w:val="0"/>
              <w:spacing w:line="600" w:lineRule="exact"/>
              <w:jc w:val="left"/>
              <w:rPr>
                <w:rFonts w:ascii="宋体" w:hAnsi="宋体" w:eastAsia="宋体" w:cs="宋体"/>
                <w:color w:val="000000" w:themeColor="text1"/>
                <w:szCs w:val="24"/>
                <w:highlight w:val="none"/>
                <w14:textFill>
                  <w14:solidFill>
                    <w14:schemeClr w14:val="tx1"/>
                  </w14:solidFill>
                </w14:textFill>
              </w:rPr>
            </w:pPr>
          </w:p>
        </w:tc>
      </w:tr>
    </w:tbl>
    <w:p w14:paraId="00957155">
      <w:pPr>
        <w:rPr>
          <w:highlight w:val="none"/>
        </w:rPr>
      </w:pPr>
      <w:r>
        <w:rPr>
          <w:rFonts w:hint="eastAsia" w:ascii="宋体" w:hAnsi="宋体" w:eastAsia="宋体" w:cs="宋体"/>
          <w:color w:val="000000" w:themeColor="text1"/>
          <w:szCs w:val="24"/>
          <w:highlight w:val="none"/>
          <w14:textFill>
            <w14:solidFill>
              <w14:schemeClr w14:val="tx1"/>
            </w14:solidFill>
          </w14:textFill>
        </w:rPr>
        <w:br w:type="page"/>
      </w:r>
    </w:p>
    <w:p w14:paraId="4F2DB77A">
      <w:pPr>
        <w:pStyle w:val="57"/>
        <w:spacing w:line="480" w:lineRule="auto"/>
        <w:ind w:firstLine="241" w:firstLineChars="100"/>
        <w:jc w:val="center"/>
        <w:rPr>
          <w:rFonts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2、投标方案</w:t>
      </w:r>
    </w:p>
    <w:p w14:paraId="7C1ABE71">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包括但不限于以下内容：</w:t>
      </w:r>
    </w:p>
    <w:p w14:paraId="30E7D4AD">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总体服务方案概述</w:t>
      </w:r>
    </w:p>
    <w:p w14:paraId="34693621">
      <w:pPr>
        <w:pStyle w:val="57"/>
        <w:spacing w:line="480" w:lineRule="auto"/>
        <w:ind w:firstLine="240" w:firstLineChars="100"/>
        <w:rPr>
          <w:rFonts w:hint="eastAsia" w:ascii="宋体" w:hAnsi="宋体" w:eastAsia="宋体" w:cs="宋体"/>
          <w:color w:val="C00000"/>
          <w:sz w:val="24"/>
          <w:szCs w:val="24"/>
          <w:highlight w:val="none"/>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2.设计方案</w:t>
      </w:r>
    </w:p>
    <w:p w14:paraId="2EF2F6FF">
      <w:pPr>
        <w:pStyle w:val="57"/>
        <w:spacing w:line="480" w:lineRule="auto"/>
        <w:ind w:firstLine="240" w:firstLineChars="1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3.实施方案</w:t>
      </w:r>
    </w:p>
    <w:p w14:paraId="047D509D">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4.质量保证措施</w:t>
      </w:r>
    </w:p>
    <w:p w14:paraId="73137499">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进度保障措施</w:t>
      </w:r>
    </w:p>
    <w:p w14:paraId="74CC71E8">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重难点分析</w:t>
      </w:r>
    </w:p>
    <w:p w14:paraId="0CF7CBDA">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服务承诺</w:t>
      </w:r>
    </w:p>
    <w:p w14:paraId="070A723D">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合理化建议</w:t>
      </w:r>
    </w:p>
    <w:p w14:paraId="75F54AB9">
      <w:pPr>
        <w:pStyle w:val="57"/>
        <w:spacing w:line="480" w:lineRule="auto"/>
        <w:ind w:left="0" w:leftChars="0"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9.售后服务</w:t>
      </w:r>
    </w:p>
    <w:p w14:paraId="3AC0770F">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保密措施</w:t>
      </w:r>
    </w:p>
    <w:p w14:paraId="3D059ACC">
      <w:pPr>
        <w:pStyle w:val="57"/>
        <w:spacing w:line="48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color w:val="000000" w:themeColor="text1"/>
          <w:sz w:val="24"/>
          <w:szCs w:val="24"/>
          <w:highlight w:val="none"/>
          <w14:textFill>
            <w14:solidFill>
              <w14:schemeClr w14:val="tx1"/>
            </w14:solidFill>
          </w14:textFill>
        </w:rPr>
        <w:t>项目组人员</w:t>
      </w:r>
    </w:p>
    <w:p w14:paraId="31C73815">
      <w:pPr>
        <w:pStyle w:val="57"/>
        <w:numPr>
          <w:ilvl w:val="0"/>
          <w:numId w:val="0"/>
        </w:numPr>
        <w:spacing w:line="480" w:lineRule="auto"/>
        <w:ind w:firstLine="240" w:firstLineChars="10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59EDEE3B">
      <w:pPr>
        <w:pStyle w:val="57"/>
        <w:spacing w:line="360" w:lineRule="auto"/>
        <w:ind w:firstLine="174" w:firstLineChars="62"/>
        <w:rPr>
          <w:rFonts w:ascii="宋体" w:hAnsi="宋体" w:eastAsia="宋体" w:cs="宋体"/>
          <w:b/>
          <w:bCs/>
          <w:color w:val="000000" w:themeColor="text1"/>
          <w:szCs w:val="28"/>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br w:type="page"/>
      </w:r>
    </w:p>
    <w:p w14:paraId="35FA25E3">
      <w:pPr>
        <w:numPr>
          <w:ilvl w:val="0"/>
          <w:numId w:val="6"/>
        </w:numPr>
        <w:jc w:val="center"/>
        <w:rPr>
          <w:rFonts w:ascii="宋体" w:hAnsi="宋体" w:eastAsia="宋体" w:cs="宋体"/>
          <w:b/>
          <w:bCs/>
          <w:color w:val="000000" w:themeColor="text1"/>
          <w:szCs w:val="28"/>
          <w:highlight w:val="none"/>
          <w14:textFill>
            <w14:solidFill>
              <w14:schemeClr w14:val="tx1"/>
            </w14:solidFill>
          </w14:textFill>
        </w:rPr>
      </w:pPr>
      <w:bookmarkStart w:id="145" w:name="_Toc6831"/>
      <w:bookmarkStart w:id="146" w:name="_Toc31350"/>
      <w:bookmarkStart w:id="147" w:name="_Toc458617499"/>
      <w:r>
        <w:rPr>
          <w:rFonts w:hint="eastAsia" w:ascii="宋体" w:hAnsi="宋体" w:eastAsia="宋体" w:cs="宋体"/>
          <w:b/>
          <w:bCs/>
          <w:color w:val="000000" w:themeColor="text1"/>
          <w:szCs w:val="28"/>
          <w:highlight w:val="none"/>
          <w14:textFill>
            <w14:solidFill>
              <w14:schemeClr w14:val="tx1"/>
            </w14:solidFill>
          </w14:textFill>
        </w:rPr>
        <w:t>类似项目业绩</w:t>
      </w:r>
    </w:p>
    <w:p w14:paraId="5D0BC0AD">
      <w:pPr>
        <w:rPr>
          <w:rFonts w:ascii="宋体" w:hAnsi="宋体" w:eastAsia="宋体" w:cs="宋体"/>
          <w:b/>
          <w:bCs/>
          <w:color w:val="000000" w:themeColor="text1"/>
          <w:szCs w:val="28"/>
          <w:highlight w:val="none"/>
          <w14:textFill>
            <w14:solidFill>
              <w14:schemeClr w14:val="tx1"/>
            </w14:solidFill>
          </w14:textFill>
        </w:rPr>
      </w:pPr>
    </w:p>
    <w:p w14:paraId="025B4120">
      <w:pPr>
        <w:rPr>
          <w:rFonts w:ascii="宋体" w:hAnsi="宋体" w:eastAsia="宋体" w:cs="宋体"/>
          <w:b/>
          <w:bCs/>
          <w:color w:val="000000" w:themeColor="text1"/>
          <w:szCs w:val="28"/>
          <w:highlight w:val="none"/>
          <w14:textFill>
            <w14:solidFill>
              <w14:schemeClr w14:val="tx1"/>
            </w14:solidFill>
          </w14:textFill>
        </w:rPr>
      </w:pPr>
    </w:p>
    <w:p w14:paraId="2A068C85">
      <w:pPr>
        <w:rPr>
          <w:rFonts w:ascii="宋体" w:hAnsi="宋体" w:eastAsia="宋体" w:cs="宋体"/>
          <w:b/>
          <w:bCs/>
          <w:color w:val="000000" w:themeColor="text1"/>
          <w:szCs w:val="28"/>
          <w:highlight w:val="none"/>
          <w14:textFill>
            <w14:solidFill>
              <w14:schemeClr w14:val="tx1"/>
            </w14:solidFill>
          </w14:textFill>
        </w:rPr>
      </w:pPr>
    </w:p>
    <w:bookmarkEnd w:id="139"/>
    <w:bookmarkEnd w:id="140"/>
    <w:bookmarkEnd w:id="141"/>
    <w:bookmarkEnd w:id="142"/>
    <w:bookmarkEnd w:id="143"/>
    <w:bookmarkEnd w:id="144"/>
    <w:bookmarkEnd w:id="145"/>
    <w:bookmarkEnd w:id="146"/>
    <w:bookmarkEnd w:id="147"/>
    <w:p w14:paraId="51153B96">
      <w:pPr>
        <w:spacing w:line="360" w:lineRule="auto"/>
        <w:jc w:val="center"/>
        <w:rPr>
          <w:rFonts w:hint="eastAsia" w:asciiTheme="minorEastAsia" w:hAnsiTheme="minorEastAsia" w:cstheme="minorEastAsia"/>
          <w:b/>
          <w:bCs/>
          <w:color w:val="auto"/>
          <w:szCs w:val="28"/>
          <w:highlight w:val="none"/>
          <w:lang w:val="en-US" w:eastAsia="zh-CN"/>
        </w:rPr>
      </w:pPr>
      <w:bookmarkStart w:id="148" w:name="_Toc458617748"/>
    </w:p>
    <w:p w14:paraId="38FC1A69">
      <w:pPr>
        <w:spacing w:line="360" w:lineRule="auto"/>
        <w:jc w:val="center"/>
        <w:rPr>
          <w:rFonts w:hint="eastAsia" w:asciiTheme="minorEastAsia" w:hAnsiTheme="minorEastAsia" w:cstheme="minorEastAsia"/>
          <w:b/>
          <w:bCs/>
          <w:color w:val="auto"/>
          <w:szCs w:val="28"/>
          <w:highlight w:val="none"/>
          <w:lang w:val="en-US" w:eastAsia="zh-CN"/>
        </w:rPr>
      </w:pPr>
    </w:p>
    <w:p w14:paraId="69003816">
      <w:pPr>
        <w:spacing w:line="360" w:lineRule="auto"/>
        <w:jc w:val="center"/>
        <w:rPr>
          <w:rFonts w:hint="eastAsia" w:asciiTheme="minorEastAsia" w:hAnsiTheme="minorEastAsia" w:cstheme="minorEastAsia"/>
          <w:b/>
          <w:bCs/>
          <w:color w:val="auto"/>
          <w:szCs w:val="28"/>
          <w:highlight w:val="none"/>
          <w:lang w:val="en-US" w:eastAsia="zh-CN"/>
        </w:rPr>
      </w:pPr>
    </w:p>
    <w:p w14:paraId="1D472A75">
      <w:pPr>
        <w:spacing w:line="360" w:lineRule="auto"/>
        <w:jc w:val="center"/>
        <w:rPr>
          <w:rFonts w:hint="eastAsia" w:asciiTheme="minorEastAsia" w:hAnsiTheme="minorEastAsia" w:cstheme="minorEastAsia"/>
          <w:b/>
          <w:bCs/>
          <w:color w:val="auto"/>
          <w:szCs w:val="28"/>
          <w:highlight w:val="none"/>
          <w:lang w:val="en-US" w:eastAsia="zh-CN"/>
        </w:rPr>
      </w:pPr>
    </w:p>
    <w:p w14:paraId="5808935D">
      <w:pPr>
        <w:spacing w:line="360" w:lineRule="auto"/>
        <w:jc w:val="center"/>
        <w:rPr>
          <w:rFonts w:hint="eastAsia" w:asciiTheme="minorEastAsia" w:hAnsiTheme="minorEastAsia" w:cstheme="minorEastAsia"/>
          <w:b/>
          <w:bCs/>
          <w:color w:val="auto"/>
          <w:szCs w:val="28"/>
          <w:highlight w:val="none"/>
          <w:lang w:val="en-US" w:eastAsia="zh-CN"/>
        </w:rPr>
      </w:pPr>
    </w:p>
    <w:p w14:paraId="0B63454D">
      <w:pPr>
        <w:spacing w:line="360" w:lineRule="auto"/>
        <w:jc w:val="center"/>
        <w:rPr>
          <w:rFonts w:hint="eastAsia" w:asciiTheme="minorEastAsia" w:hAnsiTheme="minorEastAsia" w:cstheme="minorEastAsia"/>
          <w:b/>
          <w:bCs/>
          <w:color w:val="auto"/>
          <w:szCs w:val="28"/>
          <w:highlight w:val="none"/>
          <w:lang w:val="en-US" w:eastAsia="zh-CN"/>
        </w:rPr>
      </w:pPr>
    </w:p>
    <w:p w14:paraId="440D2BE5">
      <w:pPr>
        <w:spacing w:line="360" w:lineRule="auto"/>
        <w:jc w:val="center"/>
        <w:rPr>
          <w:rFonts w:hint="eastAsia" w:asciiTheme="minorEastAsia" w:hAnsiTheme="minorEastAsia" w:cstheme="minorEastAsia"/>
          <w:b/>
          <w:bCs/>
          <w:color w:val="auto"/>
          <w:szCs w:val="28"/>
          <w:highlight w:val="none"/>
          <w:lang w:val="en-US" w:eastAsia="zh-CN"/>
        </w:rPr>
      </w:pPr>
    </w:p>
    <w:p w14:paraId="612C62F6">
      <w:pPr>
        <w:spacing w:line="360" w:lineRule="auto"/>
        <w:jc w:val="center"/>
        <w:rPr>
          <w:rFonts w:hint="eastAsia" w:asciiTheme="minorEastAsia" w:hAnsiTheme="minorEastAsia" w:cstheme="minorEastAsia"/>
          <w:b/>
          <w:bCs/>
          <w:color w:val="auto"/>
          <w:szCs w:val="28"/>
          <w:highlight w:val="none"/>
          <w:lang w:val="en-US" w:eastAsia="zh-CN"/>
        </w:rPr>
      </w:pPr>
    </w:p>
    <w:p w14:paraId="025EA533">
      <w:pPr>
        <w:spacing w:line="360" w:lineRule="auto"/>
        <w:jc w:val="center"/>
        <w:rPr>
          <w:rFonts w:hint="eastAsia" w:asciiTheme="minorEastAsia" w:hAnsiTheme="minorEastAsia" w:cstheme="minorEastAsia"/>
          <w:b/>
          <w:bCs/>
          <w:color w:val="auto"/>
          <w:szCs w:val="28"/>
          <w:highlight w:val="none"/>
          <w:lang w:val="en-US" w:eastAsia="zh-CN"/>
        </w:rPr>
      </w:pPr>
    </w:p>
    <w:p w14:paraId="750D21B1">
      <w:pPr>
        <w:spacing w:line="360" w:lineRule="auto"/>
        <w:jc w:val="center"/>
        <w:rPr>
          <w:rFonts w:hint="eastAsia" w:asciiTheme="minorEastAsia" w:hAnsiTheme="minorEastAsia" w:cstheme="minorEastAsia"/>
          <w:b/>
          <w:bCs/>
          <w:color w:val="auto"/>
          <w:szCs w:val="28"/>
          <w:highlight w:val="none"/>
          <w:lang w:val="en-US" w:eastAsia="zh-CN"/>
        </w:rPr>
      </w:pPr>
    </w:p>
    <w:p w14:paraId="0BAF1EAD">
      <w:pPr>
        <w:spacing w:line="360" w:lineRule="auto"/>
        <w:jc w:val="center"/>
        <w:rPr>
          <w:rFonts w:hint="eastAsia" w:asciiTheme="minorEastAsia" w:hAnsiTheme="minorEastAsia" w:cstheme="minorEastAsia"/>
          <w:b/>
          <w:bCs/>
          <w:color w:val="auto"/>
          <w:szCs w:val="28"/>
          <w:highlight w:val="none"/>
          <w:lang w:val="en-US" w:eastAsia="zh-CN"/>
        </w:rPr>
      </w:pPr>
    </w:p>
    <w:p w14:paraId="2BBE3757">
      <w:pPr>
        <w:spacing w:line="360" w:lineRule="auto"/>
        <w:jc w:val="center"/>
        <w:rPr>
          <w:rFonts w:hint="eastAsia" w:asciiTheme="minorEastAsia" w:hAnsiTheme="minorEastAsia" w:cstheme="minorEastAsia"/>
          <w:b/>
          <w:bCs/>
          <w:color w:val="auto"/>
          <w:szCs w:val="28"/>
          <w:highlight w:val="none"/>
          <w:lang w:val="en-US" w:eastAsia="zh-CN"/>
        </w:rPr>
      </w:pPr>
    </w:p>
    <w:p w14:paraId="0741A203">
      <w:pPr>
        <w:spacing w:line="360" w:lineRule="auto"/>
        <w:jc w:val="center"/>
        <w:rPr>
          <w:rFonts w:hint="eastAsia" w:asciiTheme="minorEastAsia" w:hAnsiTheme="minorEastAsia" w:cstheme="minorEastAsia"/>
          <w:b/>
          <w:bCs/>
          <w:color w:val="auto"/>
          <w:szCs w:val="28"/>
          <w:highlight w:val="none"/>
          <w:lang w:val="en-US" w:eastAsia="zh-CN"/>
        </w:rPr>
      </w:pPr>
    </w:p>
    <w:p w14:paraId="6B6A7D88">
      <w:pPr>
        <w:spacing w:line="360" w:lineRule="auto"/>
        <w:jc w:val="center"/>
        <w:rPr>
          <w:rFonts w:hint="eastAsia" w:asciiTheme="minorEastAsia" w:hAnsiTheme="minorEastAsia" w:cstheme="minorEastAsia"/>
          <w:b/>
          <w:bCs/>
          <w:color w:val="auto"/>
          <w:szCs w:val="28"/>
          <w:highlight w:val="none"/>
          <w:lang w:val="en-US" w:eastAsia="zh-CN"/>
        </w:rPr>
      </w:pPr>
    </w:p>
    <w:p w14:paraId="0ABC6636">
      <w:pPr>
        <w:spacing w:line="360" w:lineRule="auto"/>
        <w:jc w:val="center"/>
        <w:rPr>
          <w:rFonts w:hint="eastAsia" w:asciiTheme="minorEastAsia" w:hAnsiTheme="minorEastAsia" w:cstheme="minorEastAsia"/>
          <w:b/>
          <w:bCs/>
          <w:color w:val="auto"/>
          <w:szCs w:val="28"/>
          <w:highlight w:val="none"/>
          <w:lang w:val="en-US" w:eastAsia="zh-CN"/>
        </w:rPr>
      </w:pPr>
    </w:p>
    <w:p w14:paraId="76A77F55">
      <w:pPr>
        <w:spacing w:line="360" w:lineRule="auto"/>
        <w:jc w:val="center"/>
        <w:rPr>
          <w:rFonts w:hint="eastAsia" w:asciiTheme="minorEastAsia" w:hAnsiTheme="minorEastAsia" w:cstheme="minorEastAsia"/>
          <w:b/>
          <w:bCs/>
          <w:color w:val="auto"/>
          <w:szCs w:val="28"/>
          <w:highlight w:val="none"/>
          <w:lang w:val="en-US" w:eastAsia="zh-CN"/>
        </w:rPr>
      </w:pPr>
    </w:p>
    <w:p w14:paraId="646E0B94">
      <w:pPr>
        <w:spacing w:line="360" w:lineRule="auto"/>
        <w:jc w:val="center"/>
        <w:rPr>
          <w:rFonts w:hint="eastAsia" w:asciiTheme="minorEastAsia" w:hAnsiTheme="minorEastAsia" w:cstheme="minorEastAsia"/>
          <w:b/>
          <w:bCs/>
          <w:color w:val="auto"/>
          <w:szCs w:val="28"/>
          <w:highlight w:val="none"/>
          <w:lang w:val="en-US" w:eastAsia="zh-CN"/>
        </w:rPr>
      </w:pPr>
    </w:p>
    <w:p w14:paraId="52D688DF">
      <w:pPr>
        <w:spacing w:line="360" w:lineRule="auto"/>
        <w:jc w:val="center"/>
        <w:rPr>
          <w:rFonts w:hint="eastAsia" w:asciiTheme="minorEastAsia" w:hAnsiTheme="minorEastAsia" w:cstheme="minorEastAsia"/>
          <w:b/>
          <w:bCs/>
          <w:color w:val="auto"/>
          <w:szCs w:val="28"/>
          <w:highlight w:val="none"/>
          <w:lang w:val="en-US" w:eastAsia="zh-CN"/>
        </w:rPr>
      </w:pPr>
    </w:p>
    <w:p w14:paraId="1660B048">
      <w:pPr>
        <w:spacing w:line="360" w:lineRule="auto"/>
        <w:jc w:val="center"/>
        <w:rPr>
          <w:rFonts w:hint="eastAsia" w:asciiTheme="minorEastAsia" w:hAnsiTheme="minorEastAsia" w:cstheme="minorEastAsia"/>
          <w:b/>
          <w:bCs/>
          <w:color w:val="auto"/>
          <w:szCs w:val="28"/>
          <w:highlight w:val="none"/>
          <w:lang w:val="en-US" w:eastAsia="zh-CN"/>
        </w:rPr>
      </w:pPr>
    </w:p>
    <w:p w14:paraId="0EBB376B">
      <w:pPr>
        <w:spacing w:line="360" w:lineRule="auto"/>
        <w:jc w:val="center"/>
        <w:rPr>
          <w:rFonts w:hint="eastAsia" w:asciiTheme="minorEastAsia" w:hAnsiTheme="minorEastAsia" w:cstheme="minorEastAsia"/>
          <w:b/>
          <w:bCs/>
          <w:color w:val="auto"/>
          <w:szCs w:val="28"/>
          <w:highlight w:val="none"/>
          <w:lang w:val="en-US" w:eastAsia="zh-CN"/>
        </w:rPr>
      </w:pPr>
    </w:p>
    <w:p w14:paraId="31F09E93">
      <w:pPr>
        <w:spacing w:line="360" w:lineRule="auto"/>
        <w:jc w:val="center"/>
        <w:rPr>
          <w:rFonts w:hint="eastAsia" w:asciiTheme="minorEastAsia" w:hAnsiTheme="minorEastAsia" w:cstheme="minorEastAsia"/>
          <w:b/>
          <w:bCs/>
          <w:color w:val="auto"/>
          <w:szCs w:val="28"/>
          <w:highlight w:val="none"/>
          <w:lang w:val="en-US" w:eastAsia="zh-CN"/>
        </w:rPr>
      </w:pPr>
    </w:p>
    <w:p w14:paraId="5C550E4B">
      <w:pPr>
        <w:spacing w:line="360" w:lineRule="auto"/>
        <w:jc w:val="center"/>
        <w:rPr>
          <w:rFonts w:hint="eastAsia" w:asciiTheme="minorEastAsia" w:hAnsiTheme="minorEastAsia" w:cstheme="minorEastAsia"/>
          <w:b/>
          <w:bCs/>
          <w:color w:val="auto"/>
          <w:szCs w:val="28"/>
          <w:highlight w:val="none"/>
          <w:lang w:val="en-US" w:eastAsia="zh-CN"/>
        </w:rPr>
      </w:pPr>
    </w:p>
    <w:p w14:paraId="039453DE">
      <w:pPr>
        <w:spacing w:line="360" w:lineRule="auto"/>
        <w:jc w:val="center"/>
        <w:rPr>
          <w:rFonts w:hint="eastAsia" w:asciiTheme="minorEastAsia" w:hAnsiTheme="minorEastAsia" w:cstheme="minorEastAsia"/>
          <w:b/>
          <w:bCs/>
          <w:color w:val="auto"/>
          <w:szCs w:val="28"/>
          <w:highlight w:val="none"/>
          <w:lang w:val="en-US" w:eastAsia="zh-CN"/>
        </w:rPr>
      </w:pPr>
    </w:p>
    <w:p w14:paraId="60D2BAA5">
      <w:pPr>
        <w:spacing w:line="360" w:lineRule="auto"/>
        <w:jc w:val="center"/>
        <w:rPr>
          <w:rFonts w:hint="eastAsia" w:asciiTheme="minorEastAsia" w:hAnsiTheme="minorEastAsia" w:cstheme="minorEastAsia"/>
          <w:b/>
          <w:bCs/>
          <w:color w:val="auto"/>
          <w:szCs w:val="28"/>
          <w:highlight w:val="none"/>
          <w:lang w:val="en-US" w:eastAsia="zh-CN"/>
        </w:rPr>
      </w:pPr>
    </w:p>
    <w:p w14:paraId="6DB6FDE2">
      <w:pPr>
        <w:spacing w:line="360" w:lineRule="auto"/>
        <w:jc w:val="center"/>
        <w:rPr>
          <w:rFonts w:hint="eastAsia" w:asciiTheme="minorEastAsia" w:hAnsiTheme="minorEastAsia" w:cstheme="minorEastAsia"/>
          <w:b/>
          <w:bCs/>
          <w:color w:val="auto"/>
          <w:szCs w:val="28"/>
          <w:highlight w:val="none"/>
          <w:lang w:val="en-US" w:eastAsia="zh-CN"/>
        </w:rPr>
      </w:pPr>
    </w:p>
    <w:p w14:paraId="2CA1EC04">
      <w:pPr>
        <w:spacing w:line="360" w:lineRule="auto"/>
        <w:jc w:val="center"/>
        <w:rPr>
          <w:rFonts w:hint="eastAsia" w:asciiTheme="minorEastAsia" w:hAnsiTheme="minorEastAsia" w:cstheme="minorEastAsia"/>
          <w:b/>
          <w:bCs/>
          <w:color w:val="auto"/>
          <w:szCs w:val="28"/>
          <w:highlight w:val="none"/>
          <w:lang w:val="en-US" w:eastAsia="zh-CN"/>
        </w:rPr>
      </w:pPr>
    </w:p>
    <w:p w14:paraId="44CE1DDB">
      <w:pPr>
        <w:spacing w:line="360" w:lineRule="auto"/>
        <w:jc w:val="center"/>
        <w:rPr>
          <w:rFonts w:hint="eastAsia" w:asciiTheme="minorEastAsia" w:hAnsiTheme="minorEastAsia" w:cstheme="minorEastAsia"/>
          <w:b/>
          <w:bCs/>
          <w:color w:val="auto"/>
          <w:szCs w:val="28"/>
          <w:highlight w:val="none"/>
          <w:lang w:val="en-US" w:eastAsia="zh-CN"/>
        </w:rPr>
      </w:pPr>
      <w:r>
        <w:rPr>
          <w:rFonts w:hint="eastAsia" w:asciiTheme="minorEastAsia" w:hAnsiTheme="minorEastAsia" w:cstheme="minorEastAsia"/>
          <w:b/>
          <w:bCs/>
          <w:color w:val="auto"/>
          <w:szCs w:val="28"/>
          <w:highlight w:val="none"/>
          <w:lang w:val="en-US" w:eastAsia="zh-CN"/>
        </w:rPr>
        <w:t>4、供应商认为有必要补充说明的事宜</w:t>
      </w:r>
    </w:p>
    <w:p w14:paraId="0B415306">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70A6ACA0">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764F7A8B">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3F8BFF7D">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735AB68B">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5B508C09">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69435862">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63A136C7">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3101F687">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60F8D3DE">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7473BA9B">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1A3F4D59">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0F0698D1">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158B0569">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26186A5F">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43ED1E90">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2FDCA5BB">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16E03223">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5D2C960F">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35000ED4">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67DE84ED">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38C1D2A2">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3AA62AC7">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339C4288">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3B026C98">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735DB795">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5A07DB9E">
      <w:pPr>
        <w:spacing w:line="360" w:lineRule="auto"/>
        <w:rPr>
          <w:rFonts w:hint="eastAsia" w:ascii="宋体" w:hAnsi="宋体" w:eastAsia="宋体" w:cs="宋体"/>
          <w:b/>
          <w:bCs/>
          <w:color w:val="000000" w:themeColor="text1"/>
          <w:szCs w:val="28"/>
          <w:highlight w:val="none"/>
          <w14:textFill>
            <w14:solidFill>
              <w14:schemeClr w14:val="tx1"/>
            </w14:solidFill>
          </w14:textFill>
        </w:rPr>
      </w:pPr>
    </w:p>
    <w:p w14:paraId="6BC4517D">
      <w:pPr>
        <w:spacing w:line="360" w:lineRule="auto"/>
        <w:rPr>
          <w:rFonts w:ascii="宋体" w:hAnsi="宋体" w:eastAsia="宋体" w:cs="宋体"/>
          <w:b/>
          <w:color w:val="000000" w:themeColor="text1"/>
          <w:kern w:val="0"/>
          <w:sz w:val="28"/>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t>附件一：</w:t>
      </w:r>
      <w:bookmarkEnd w:id="148"/>
      <w:r>
        <w:rPr>
          <w:rFonts w:hint="eastAsia" w:ascii="宋体" w:hAnsi="宋体" w:eastAsia="宋体" w:cs="宋体"/>
          <w:b/>
          <w:color w:val="000000" w:themeColor="text1"/>
          <w:kern w:val="0"/>
          <w:sz w:val="28"/>
          <w:highlight w:val="none"/>
          <w14:textFill>
            <w14:solidFill>
              <w14:schemeClr w14:val="tx1"/>
            </w14:solidFill>
          </w14:textFill>
        </w:rPr>
        <w:t>中小企业声明函</w:t>
      </w:r>
    </w:p>
    <w:p w14:paraId="450A1E63">
      <w:pPr>
        <w:pStyle w:val="22"/>
        <w:jc w:val="center"/>
        <w:rPr>
          <w:highlight w:val="none"/>
        </w:rPr>
      </w:pPr>
      <w:r>
        <w:rPr>
          <w:rFonts w:hint="eastAsia" w:ascii="宋体" w:hAnsi="宋体" w:cs="宋体"/>
          <w:b/>
          <w:color w:val="000000" w:themeColor="text1"/>
          <w:kern w:val="0"/>
          <w:sz w:val="28"/>
          <w:highlight w:val="none"/>
          <w14:textFill>
            <w14:solidFill>
              <w14:schemeClr w14:val="tx1"/>
            </w14:solidFill>
          </w14:textFill>
        </w:rPr>
        <w:t>中小企业声明函</w:t>
      </w:r>
    </w:p>
    <w:p w14:paraId="4D58DF57">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本公司（联合体）郑重声明，根据《政府采购促进中小企业发展管理办法》（财库﹝2020﹞46号）的规定，本公司参加</w:t>
      </w:r>
      <w:r>
        <w:rPr>
          <w:rFonts w:hint="eastAsia" w:ascii="宋体" w:hAnsi="宋体" w:eastAsia="宋体" w:cs="宋体"/>
          <w:spacing w:val="11"/>
          <w:kern w:val="0"/>
          <w:sz w:val="24"/>
          <w:szCs w:val="24"/>
          <w:u w:val="single"/>
        </w:rPr>
        <w:t>（单位名称）</w:t>
      </w:r>
      <w:r>
        <w:rPr>
          <w:rFonts w:hint="eastAsia" w:ascii="宋体" w:hAnsi="宋体" w:eastAsia="宋体" w:cs="宋体"/>
          <w:spacing w:val="11"/>
          <w:kern w:val="0"/>
          <w:sz w:val="24"/>
          <w:szCs w:val="24"/>
        </w:rPr>
        <w:t>的</w:t>
      </w:r>
      <w:r>
        <w:rPr>
          <w:rFonts w:hint="eastAsia" w:ascii="宋体" w:hAnsi="宋体" w:eastAsia="宋体" w:cs="宋体"/>
          <w:spacing w:val="11"/>
          <w:kern w:val="0"/>
          <w:sz w:val="24"/>
          <w:szCs w:val="24"/>
          <w:u w:val="single"/>
        </w:rPr>
        <w:t>（项目名称）</w:t>
      </w:r>
      <w:r>
        <w:rPr>
          <w:rFonts w:hint="eastAsia" w:ascii="宋体" w:hAnsi="宋体" w:eastAsia="宋体" w:cs="宋体"/>
          <w:spacing w:val="11"/>
          <w:kern w:val="0"/>
          <w:sz w:val="24"/>
          <w:szCs w:val="24"/>
        </w:rPr>
        <w:t>采购活动，服务全部由符合政策要求的中小企业承接。相关企业的具体情况如下：</w:t>
      </w:r>
    </w:p>
    <w:p w14:paraId="468C3689">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1.</w:t>
      </w:r>
      <w:r>
        <w:rPr>
          <w:rFonts w:hint="eastAsia" w:ascii="宋体" w:hAnsi="宋体" w:eastAsia="宋体" w:cs="宋体"/>
          <w:spacing w:val="11"/>
          <w:kern w:val="0"/>
          <w:sz w:val="24"/>
          <w:szCs w:val="24"/>
          <w:u w:val="single"/>
        </w:rPr>
        <w:t xml:space="preserve">（标的名称） </w:t>
      </w:r>
      <w:r>
        <w:rPr>
          <w:rFonts w:hint="eastAsia" w:ascii="宋体" w:hAnsi="宋体" w:eastAsia="宋体" w:cs="宋体"/>
          <w:spacing w:val="11"/>
          <w:kern w:val="0"/>
          <w:sz w:val="24"/>
          <w:szCs w:val="24"/>
        </w:rPr>
        <w:t>，属于</w:t>
      </w:r>
      <w:r>
        <w:rPr>
          <w:rFonts w:hint="eastAsia" w:ascii="宋体" w:hAnsi="宋体" w:eastAsia="宋体" w:cs="宋体"/>
          <w:spacing w:val="11"/>
          <w:kern w:val="0"/>
          <w:sz w:val="24"/>
          <w:szCs w:val="24"/>
          <w:u w:val="single"/>
        </w:rPr>
        <w:t>（采购文件中明确的所属行业）</w:t>
      </w:r>
      <w:r>
        <w:rPr>
          <w:rFonts w:hint="eastAsia" w:ascii="宋体" w:hAnsi="宋体" w:eastAsia="宋体" w:cs="宋体"/>
          <w:spacing w:val="11"/>
          <w:kern w:val="0"/>
          <w:sz w:val="24"/>
          <w:szCs w:val="24"/>
        </w:rPr>
        <w:t>；承建（承接）企业为</w:t>
      </w:r>
      <w:r>
        <w:rPr>
          <w:rFonts w:hint="eastAsia" w:ascii="宋体" w:hAnsi="宋体" w:eastAsia="宋体" w:cs="宋体"/>
          <w:spacing w:val="11"/>
          <w:kern w:val="0"/>
          <w:sz w:val="24"/>
          <w:szCs w:val="24"/>
          <w:u w:val="single"/>
        </w:rPr>
        <w:t>（企业名称）</w:t>
      </w:r>
      <w:r>
        <w:rPr>
          <w:rFonts w:hint="eastAsia" w:ascii="宋体" w:hAnsi="宋体" w:eastAsia="宋体" w:cs="宋体"/>
          <w:spacing w:val="11"/>
          <w:kern w:val="0"/>
          <w:sz w:val="24"/>
          <w:szCs w:val="24"/>
        </w:rPr>
        <w:t>，从业人员</w:t>
      </w:r>
      <w:r>
        <w:rPr>
          <w:rFonts w:hint="eastAsia" w:ascii="宋体" w:hAnsi="宋体" w:eastAsia="宋体" w:cs="宋体"/>
          <w:spacing w:val="11"/>
          <w:kern w:val="0"/>
          <w:sz w:val="24"/>
          <w:szCs w:val="24"/>
          <w:u w:val="single"/>
        </w:rPr>
        <w:t xml:space="preserve">   </w:t>
      </w:r>
      <w:r>
        <w:rPr>
          <w:rFonts w:hint="eastAsia" w:ascii="宋体" w:hAnsi="宋体" w:eastAsia="宋体" w:cs="宋体"/>
          <w:spacing w:val="11"/>
          <w:kern w:val="0"/>
          <w:sz w:val="24"/>
          <w:szCs w:val="24"/>
        </w:rPr>
        <w:t>人，营业收入为</w:t>
      </w:r>
      <w:r>
        <w:rPr>
          <w:rFonts w:hint="eastAsia" w:ascii="宋体" w:hAnsi="宋体" w:eastAsia="宋体" w:cs="宋体"/>
          <w:spacing w:val="11"/>
          <w:kern w:val="0"/>
          <w:sz w:val="24"/>
          <w:szCs w:val="24"/>
          <w:u w:val="single"/>
        </w:rPr>
        <w:t xml:space="preserve">   </w:t>
      </w:r>
      <w:r>
        <w:rPr>
          <w:rFonts w:hint="eastAsia" w:ascii="宋体" w:hAnsi="宋体" w:eastAsia="宋体" w:cs="宋体"/>
          <w:spacing w:val="11"/>
          <w:kern w:val="0"/>
          <w:sz w:val="24"/>
          <w:szCs w:val="24"/>
        </w:rPr>
        <w:t>万元，资产总额为</w:t>
      </w:r>
      <w:r>
        <w:rPr>
          <w:rFonts w:hint="eastAsia" w:ascii="宋体" w:hAnsi="宋体" w:eastAsia="宋体" w:cs="宋体"/>
          <w:spacing w:val="11"/>
          <w:kern w:val="0"/>
          <w:sz w:val="24"/>
          <w:szCs w:val="24"/>
          <w:u w:val="single"/>
        </w:rPr>
        <w:t xml:space="preserve">   </w:t>
      </w:r>
      <w:r>
        <w:rPr>
          <w:rFonts w:hint="eastAsia" w:ascii="宋体" w:hAnsi="宋体" w:eastAsia="宋体" w:cs="宋体"/>
          <w:spacing w:val="11"/>
          <w:kern w:val="0"/>
          <w:sz w:val="24"/>
          <w:szCs w:val="24"/>
        </w:rPr>
        <w:t>万元属于</w:t>
      </w:r>
      <w:r>
        <w:rPr>
          <w:rFonts w:hint="eastAsia" w:ascii="宋体" w:hAnsi="宋体" w:eastAsia="宋体" w:cs="宋体"/>
          <w:spacing w:val="11"/>
          <w:kern w:val="0"/>
          <w:sz w:val="24"/>
          <w:szCs w:val="24"/>
          <w:u w:val="single"/>
        </w:rPr>
        <w:t>（中型企业、小型企业、微型企业）</w:t>
      </w:r>
      <w:r>
        <w:rPr>
          <w:rFonts w:hint="eastAsia" w:ascii="宋体" w:hAnsi="宋体" w:eastAsia="宋体" w:cs="宋体"/>
          <w:spacing w:val="11"/>
          <w:kern w:val="0"/>
          <w:sz w:val="24"/>
          <w:szCs w:val="24"/>
        </w:rPr>
        <w:t>；</w:t>
      </w:r>
    </w:p>
    <w:p w14:paraId="62819AE0">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w:t>
      </w:r>
    </w:p>
    <w:p w14:paraId="6E2E4712">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以上企业，不属于大企业的分支机构，不存在控股股东为大企业的情形，也不存在与大企业的负责人为同一人的情形。</w:t>
      </w:r>
    </w:p>
    <w:p w14:paraId="17F31E61">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本企业对上述声明内容的真实性负责。如有虚假，将依法承担相应责任。</w:t>
      </w:r>
    </w:p>
    <w:p w14:paraId="162D1BD2">
      <w:pPr>
        <w:widowControl/>
        <w:shd w:val="clear" w:color="auto" w:fill="FFFFFF"/>
        <w:spacing w:line="500" w:lineRule="exact"/>
        <w:ind w:firstLine="482"/>
        <w:jc w:val="left"/>
        <w:rPr>
          <w:rFonts w:ascii="宋体" w:hAnsi="宋体" w:eastAsia="宋体" w:cs="宋体"/>
          <w:color w:val="333333"/>
          <w:szCs w:val="24"/>
          <w:highlight w:val="none"/>
        </w:rPr>
      </w:pPr>
    </w:p>
    <w:p w14:paraId="53E09081">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5BE98126">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3DD33C1C">
      <w:pPr>
        <w:pStyle w:val="13"/>
        <w:rPr>
          <w:rFonts w:ascii="宋体" w:hAnsi="宋体" w:eastAsia="宋体" w:cs="宋体"/>
          <w:color w:val="000000" w:themeColor="text1"/>
          <w:kern w:val="0"/>
          <w:highlight w:val="none"/>
          <w:u w:val="single"/>
          <w14:textFill>
            <w14:solidFill>
              <w14:schemeClr w14:val="tx1"/>
            </w14:solidFill>
          </w14:textFill>
        </w:rPr>
      </w:pPr>
    </w:p>
    <w:p w14:paraId="4BB0978F">
      <w:pPr>
        <w:pStyle w:val="10"/>
        <w:spacing w:line="500" w:lineRule="exact"/>
        <w:ind w:firstLine="0"/>
        <w:rPr>
          <w:rFonts w:ascii="宋体" w:hAnsi="宋体" w:cs="宋体"/>
          <w:spacing w:val="11"/>
          <w:kern w:val="0"/>
          <w:sz w:val="24"/>
          <w:szCs w:val="24"/>
          <w:highlight w:val="none"/>
        </w:rPr>
      </w:pPr>
      <w:r>
        <w:rPr>
          <w:rFonts w:hint="eastAsia" w:ascii="宋体" w:hAnsi="宋体" w:cs="宋体"/>
          <w:spacing w:val="11"/>
          <w:kern w:val="0"/>
          <w:sz w:val="24"/>
          <w:szCs w:val="24"/>
          <w:highlight w:val="none"/>
        </w:rPr>
        <w:t>备注：1、中小企业参加政府采购活动，应当按照《政府采购促进中小企业发展管理办法》（财库〔2020〕46号）规定和《中小企业划型标准规定》（工信部联企业〔2011〕300号），如实填写并提交本《中小企业声明函》。</w:t>
      </w:r>
    </w:p>
    <w:p w14:paraId="5600706C">
      <w:pPr>
        <w:pStyle w:val="10"/>
        <w:numPr>
          <w:ilvl w:val="0"/>
          <w:numId w:val="7"/>
        </w:numPr>
        <w:spacing w:line="500" w:lineRule="exact"/>
        <w:ind w:firstLine="524"/>
        <w:rPr>
          <w:rFonts w:ascii="宋体" w:hAnsi="宋体" w:cs="宋体"/>
          <w:spacing w:val="6"/>
          <w:sz w:val="24"/>
          <w:highlight w:val="none"/>
        </w:rPr>
      </w:pPr>
      <w:r>
        <w:rPr>
          <w:rFonts w:hint="eastAsia" w:ascii="宋体" w:hAnsi="宋体" w:cs="宋体"/>
          <w:spacing w:val="11"/>
          <w:kern w:val="0"/>
          <w:sz w:val="24"/>
          <w:szCs w:val="24"/>
          <w:highlight w:val="none"/>
        </w:rPr>
        <w:t>从业人员、营业收入、资产总额填报上一年度数据，无上一年度数据的新成立企业可不填报。</w:t>
      </w:r>
    </w:p>
    <w:p w14:paraId="1AE702FB">
      <w:pPr>
        <w:rPr>
          <w:rFonts w:ascii="宋体" w:hAnsi="宋体" w:eastAsia="宋体" w:cs="宋体"/>
          <w:spacing w:val="6"/>
          <w:highlight w:val="none"/>
        </w:rPr>
      </w:pPr>
      <w:r>
        <w:rPr>
          <w:rFonts w:hint="eastAsia" w:ascii="宋体" w:hAnsi="宋体" w:eastAsia="宋体" w:cs="宋体"/>
          <w:spacing w:val="11"/>
          <w:kern w:val="0"/>
          <w:szCs w:val="24"/>
          <w:highlight w:val="none"/>
        </w:rPr>
        <w:br w:type="page"/>
      </w:r>
    </w:p>
    <w:p w14:paraId="40C279FB">
      <w:pPr>
        <w:pStyle w:val="10"/>
        <w:numPr>
          <w:ilvl w:val="0"/>
          <w:numId w:val="7"/>
        </w:numPr>
        <w:spacing w:line="500" w:lineRule="exact"/>
        <w:ind w:firstLine="524"/>
        <w:rPr>
          <w:rFonts w:ascii="宋体" w:hAnsi="宋体" w:cs="宋体"/>
          <w:spacing w:val="6"/>
          <w:sz w:val="24"/>
          <w:highlight w:val="none"/>
        </w:rPr>
        <w:sectPr>
          <w:headerReference r:id="rId6" w:type="default"/>
          <w:footerReference r:id="rId7" w:type="default"/>
          <w:pgSz w:w="11910" w:h="16840"/>
          <w:pgMar w:top="1500" w:right="970" w:bottom="1780" w:left="1580" w:header="0" w:footer="1595" w:gutter="0"/>
          <w:pgNumType w:fmt="decimal"/>
          <w:cols w:space="720" w:num="1"/>
        </w:sectPr>
      </w:pPr>
    </w:p>
    <w:p w14:paraId="4CCE54FF">
      <w:pPr>
        <w:tabs>
          <w:tab w:val="left" w:pos="2340"/>
        </w:tabs>
        <w:rPr>
          <w:rFonts w:ascii="宋体" w:hAnsi="宋体" w:eastAsia="宋体" w:cs="宋体"/>
          <w:b/>
          <w:color w:val="000000" w:themeColor="text1"/>
          <w:spacing w:val="6"/>
          <w:szCs w:val="24"/>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t>附件二：《残疾人福利性单位声明函》</w:t>
      </w:r>
      <w:bookmarkStart w:id="149" w:name="OLE_LINK14"/>
    </w:p>
    <w:p w14:paraId="7DE9BB06">
      <w:pPr>
        <w:spacing w:line="360" w:lineRule="auto"/>
        <w:jc w:val="center"/>
        <w:rPr>
          <w:rFonts w:ascii="宋体" w:hAnsi="宋体" w:eastAsia="宋体" w:cs="宋体"/>
          <w:b/>
          <w:color w:val="000000" w:themeColor="text1"/>
          <w:spacing w:val="6"/>
          <w:szCs w:val="24"/>
          <w:highlight w:val="none"/>
          <w14:textFill>
            <w14:solidFill>
              <w14:schemeClr w14:val="tx1"/>
            </w14:solidFill>
          </w14:textFill>
        </w:rPr>
      </w:pPr>
      <w:bookmarkStart w:id="150" w:name="_Toc8261"/>
      <w:bookmarkStart w:id="151" w:name="_Toc957"/>
    </w:p>
    <w:p w14:paraId="675C9FF5">
      <w:pPr>
        <w:spacing w:line="360" w:lineRule="auto"/>
        <w:jc w:val="center"/>
        <w:rPr>
          <w:rFonts w:ascii="宋体" w:hAnsi="宋体" w:eastAsia="宋体" w:cs="宋体"/>
          <w:b/>
          <w:bCs/>
          <w:color w:val="000000" w:themeColor="text1"/>
          <w:kern w:val="0"/>
          <w:sz w:val="28"/>
          <w:szCs w:val="28"/>
          <w:highlight w:val="none"/>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残疾人福利性单位声明函</w:t>
      </w:r>
      <w:bookmarkEnd w:id="149"/>
      <w:bookmarkEnd w:id="150"/>
      <w:bookmarkEnd w:id="151"/>
      <w:r>
        <w:rPr>
          <w:rFonts w:hint="eastAsia" w:ascii="宋体" w:hAnsi="宋体" w:eastAsia="宋体" w:cs="宋体"/>
          <w:b/>
          <w:bCs/>
          <w:color w:val="000000" w:themeColor="text1"/>
          <w:kern w:val="0"/>
          <w:sz w:val="28"/>
          <w:szCs w:val="28"/>
          <w:highlight w:val="none"/>
          <w14:textFill>
            <w14:solidFill>
              <w14:schemeClr w14:val="tx1"/>
            </w14:solidFill>
          </w14:textFill>
        </w:rPr>
        <w:t>（若有）</w:t>
      </w:r>
    </w:p>
    <w:p w14:paraId="67BCA5BA">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p>
    <w:p w14:paraId="144A578F">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color w:val="000000" w:themeColor="text1"/>
          <w:spacing w:val="6"/>
          <w:szCs w:val="24"/>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4"/>
          <w:highlight w:val="none"/>
          <w14:textFill>
            <w14:solidFill>
              <w14:schemeClr w14:val="tx1"/>
            </w14:solidFill>
          </w14:textFill>
        </w:rPr>
        <w:t>〔2017〕141</w:t>
      </w:r>
      <w:r>
        <w:rPr>
          <w:rFonts w:hint="eastAsia" w:ascii="宋体" w:hAnsi="宋体" w:eastAsia="宋体" w:cs="宋体"/>
          <w:color w:val="000000" w:themeColor="text1"/>
          <w:spacing w:val="6"/>
          <w:szCs w:val="24"/>
          <w:highlight w:val="none"/>
          <w14:textFill>
            <w14:solidFill>
              <w14:schemeClr w14:val="tx1"/>
            </w14:solidFill>
          </w14:textFill>
        </w:rPr>
        <w:t>号）的规定，本单位为</w:t>
      </w:r>
      <w:r>
        <w:rPr>
          <w:rFonts w:hint="eastAsia" w:ascii="宋体" w:hAnsi="宋体" w:eastAsia="宋体" w:cs="宋体"/>
          <w:color w:val="000000" w:themeColor="text1"/>
          <w:spacing w:val="6"/>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6"/>
          <w:szCs w:val="24"/>
          <w:highlight w:val="none"/>
          <w14:textFill>
            <w14:solidFill>
              <w14:schemeClr w14:val="tx1"/>
            </w14:solidFill>
          </w14:textFill>
        </w:rPr>
        <w:t>（符合/不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F61D5D6">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color w:val="000000" w:themeColor="text1"/>
          <w:spacing w:val="6"/>
          <w:szCs w:val="24"/>
          <w:highlight w:val="none"/>
          <w14:textFill>
            <w14:solidFill>
              <w14:schemeClr w14:val="tx1"/>
            </w14:solidFill>
          </w14:textFill>
        </w:rPr>
        <w:t>本单位对上述声明的真实性负责。如有虚假，将依法承担相应责任。</w:t>
      </w:r>
    </w:p>
    <w:p w14:paraId="4278313A">
      <w:pPr>
        <w:spacing w:line="360" w:lineRule="auto"/>
        <w:ind w:firstLine="504" w:firstLineChars="200"/>
        <w:rPr>
          <w:rFonts w:ascii="宋体" w:hAnsi="宋体" w:eastAsia="宋体" w:cs="宋体"/>
          <w:color w:val="000000" w:themeColor="text1"/>
          <w:spacing w:val="6"/>
          <w:szCs w:val="24"/>
          <w:highlight w:val="none"/>
          <w14:textFill>
            <w14:solidFill>
              <w14:schemeClr w14:val="tx1"/>
            </w14:solidFill>
          </w14:textFill>
        </w:rPr>
      </w:pPr>
    </w:p>
    <w:p w14:paraId="0B19608E">
      <w:pPr>
        <w:spacing w:line="360" w:lineRule="auto"/>
        <w:ind w:firstLine="524" w:firstLineChars="200"/>
        <w:rPr>
          <w:rFonts w:ascii="宋体" w:hAnsi="宋体" w:eastAsia="宋体" w:cs="宋体"/>
          <w:color w:val="000000" w:themeColor="text1"/>
          <w:spacing w:val="6"/>
          <w:szCs w:val="24"/>
          <w:highlight w:val="none"/>
          <w14:textFill>
            <w14:solidFill>
              <w14:schemeClr w14:val="tx1"/>
            </w14:solidFill>
          </w14:textFill>
        </w:rPr>
      </w:pPr>
      <w:r>
        <w:rPr>
          <w:rFonts w:hint="eastAsia" w:ascii="宋体" w:hAnsi="宋体" w:eastAsia="宋体" w:cs="宋体"/>
          <w:spacing w:val="11"/>
          <w:kern w:val="0"/>
          <w:szCs w:val="24"/>
          <w:highlight w:val="none"/>
        </w:rPr>
        <w:t>备注</w:t>
      </w:r>
      <w:r>
        <w:rPr>
          <w:rFonts w:hint="eastAsia" w:ascii="宋体" w:hAnsi="宋体" w:eastAsia="宋体" w:cs="宋体"/>
          <w:color w:val="000000" w:themeColor="text1"/>
          <w:spacing w:val="6"/>
          <w:szCs w:val="24"/>
          <w:highlight w:val="none"/>
          <w14:textFill>
            <w14:solidFill>
              <w14:schemeClr w14:val="tx1"/>
            </w14:solidFill>
          </w14:textFill>
        </w:rPr>
        <w:t>：非残疾人企业可以不提供本声明函。</w:t>
      </w:r>
    </w:p>
    <w:p w14:paraId="3FC03C58">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1C3DDBB8">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1C366F24">
      <w:pPr>
        <w:pStyle w:val="36"/>
        <w:ind w:firstLine="664"/>
        <w:rPr>
          <w:rFonts w:ascii="宋体" w:hAnsi="宋体" w:eastAsia="宋体" w:cs="宋体"/>
          <w:color w:val="000000" w:themeColor="text1"/>
          <w:spacing w:val="6"/>
          <w:szCs w:val="24"/>
          <w:highlight w:val="none"/>
          <w14:textFill>
            <w14:solidFill>
              <w14:schemeClr w14:val="tx1"/>
            </w14:solidFill>
          </w14:textFill>
        </w:rPr>
      </w:pPr>
    </w:p>
    <w:p w14:paraId="5D6C7FF2">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250C031B">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0A7FCCD6">
      <w:pPr>
        <w:tabs>
          <w:tab w:val="left" w:pos="4860"/>
        </w:tabs>
        <w:spacing w:line="360" w:lineRule="auto"/>
        <w:ind w:right="1560" w:firstLine="883" w:firstLineChars="200"/>
        <w:jc w:val="center"/>
        <w:rPr>
          <w:rFonts w:ascii="宋体" w:hAnsi="宋体" w:eastAsia="宋体" w:cs="宋体"/>
          <w:b/>
          <w:color w:val="000000" w:themeColor="text1"/>
          <w:sz w:val="44"/>
          <w:szCs w:val="44"/>
          <w:highlight w:val="none"/>
          <w14:textFill>
            <w14:solidFill>
              <w14:schemeClr w14:val="tx1"/>
            </w14:solidFill>
          </w14:textFill>
        </w:rPr>
      </w:pPr>
    </w:p>
    <w:p w14:paraId="2A3E3066">
      <w:pPr>
        <w:spacing w:line="360" w:lineRule="auto"/>
        <w:rPr>
          <w:rFonts w:ascii="宋体" w:hAnsi="宋体" w:eastAsia="宋体" w:cs="宋体"/>
          <w:b/>
          <w:color w:val="000000" w:themeColor="text1"/>
          <w:sz w:val="44"/>
          <w:szCs w:val="44"/>
          <w:highlight w:val="none"/>
          <w14:textFill>
            <w14:solidFill>
              <w14:schemeClr w14:val="tx1"/>
            </w14:solidFill>
          </w14:textFill>
        </w:rPr>
      </w:pPr>
    </w:p>
    <w:p w14:paraId="43E9BDB6">
      <w:pPr>
        <w:spacing w:line="360" w:lineRule="auto"/>
        <w:rPr>
          <w:rFonts w:ascii="宋体" w:hAnsi="宋体" w:eastAsia="宋体" w:cs="宋体"/>
          <w:b/>
          <w:color w:val="000000" w:themeColor="text1"/>
          <w:sz w:val="44"/>
          <w:szCs w:val="44"/>
          <w:highlight w:val="none"/>
          <w14:textFill>
            <w14:solidFill>
              <w14:schemeClr w14:val="tx1"/>
            </w14:solidFill>
          </w14:textFill>
        </w:rPr>
      </w:pPr>
    </w:p>
    <w:p w14:paraId="23FD47DE">
      <w:pPr>
        <w:rPr>
          <w:rFonts w:ascii="宋体" w:hAnsi="宋体" w:eastAsia="宋体" w:cs="宋体"/>
          <w:b/>
          <w:bCs/>
          <w:color w:val="000000" w:themeColor="text1"/>
          <w:szCs w:val="28"/>
          <w:highlight w:val="none"/>
          <w14:textFill>
            <w14:solidFill>
              <w14:schemeClr w14:val="tx1"/>
            </w14:solidFill>
          </w14:textFill>
        </w:rPr>
      </w:pPr>
      <w:bookmarkStart w:id="152" w:name="_Toc32293_WPSOffice_Level1"/>
      <w:r>
        <w:rPr>
          <w:rFonts w:hint="eastAsia" w:ascii="宋体" w:hAnsi="宋体" w:eastAsia="宋体" w:cs="宋体"/>
          <w:b/>
          <w:bCs/>
          <w:color w:val="000000" w:themeColor="text1"/>
          <w:szCs w:val="28"/>
          <w:highlight w:val="none"/>
          <w14:textFill>
            <w14:solidFill>
              <w14:schemeClr w14:val="tx1"/>
            </w14:solidFill>
          </w14:textFill>
        </w:rPr>
        <w:br w:type="page"/>
      </w:r>
    </w:p>
    <w:p w14:paraId="0ACFA728">
      <w:pPr>
        <w:spacing w:line="360" w:lineRule="auto"/>
        <w:rPr>
          <w:rFonts w:ascii="宋体" w:hAnsi="宋体" w:eastAsia="宋体" w:cs="宋体"/>
          <w:b/>
          <w:bCs/>
          <w:color w:val="000000" w:themeColor="text1"/>
          <w:szCs w:val="28"/>
          <w:highlight w:val="none"/>
          <w14:textFill>
            <w14:solidFill>
              <w14:schemeClr w14:val="tx1"/>
            </w14:solidFill>
          </w14:textFill>
        </w:rPr>
      </w:pPr>
      <w:r>
        <w:rPr>
          <w:rFonts w:hint="eastAsia" w:ascii="宋体" w:hAnsi="宋体" w:eastAsia="宋体" w:cs="宋体"/>
          <w:b/>
          <w:bCs/>
          <w:color w:val="000000" w:themeColor="text1"/>
          <w:szCs w:val="28"/>
          <w:highlight w:val="none"/>
          <w14:textFill>
            <w14:solidFill>
              <w14:schemeClr w14:val="tx1"/>
            </w14:solidFill>
          </w14:textFill>
        </w:rPr>
        <w:t>附件三：《监狱企业证明材料》</w:t>
      </w:r>
    </w:p>
    <w:p w14:paraId="4D46402B">
      <w:pPr>
        <w:pStyle w:val="36"/>
        <w:ind w:firstLine="640"/>
        <w:rPr>
          <w:rFonts w:ascii="宋体" w:hAnsi="宋体" w:eastAsia="宋体" w:cs="宋体"/>
          <w:color w:val="000000" w:themeColor="text1"/>
          <w:highlight w:val="none"/>
          <w14:textFill>
            <w14:solidFill>
              <w14:schemeClr w14:val="tx1"/>
            </w14:solidFill>
          </w14:textFill>
        </w:rPr>
      </w:pPr>
    </w:p>
    <w:p w14:paraId="4A3EECB6">
      <w:pPr>
        <w:spacing w:line="360" w:lineRule="auto"/>
        <w:jc w:val="center"/>
        <w:rPr>
          <w:rFonts w:ascii="宋体" w:hAnsi="宋体" w:eastAsia="宋体" w:cs="宋体"/>
          <w:b/>
          <w:bCs/>
          <w:color w:val="000000" w:themeColor="text1"/>
          <w:kern w:val="0"/>
          <w:sz w:val="28"/>
          <w:szCs w:val="28"/>
          <w:highlight w:val="none"/>
          <w14:textFill>
            <w14:solidFill>
              <w14:schemeClr w14:val="tx1"/>
            </w14:solidFill>
          </w14:textFill>
        </w:rPr>
      </w:pPr>
      <w:r>
        <w:rPr>
          <w:rFonts w:hint="eastAsia" w:ascii="宋体" w:hAnsi="宋体" w:eastAsia="宋体" w:cs="宋体"/>
          <w:b/>
          <w:bCs/>
          <w:color w:val="000000" w:themeColor="text1"/>
          <w:kern w:val="0"/>
          <w:sz w:val="28"/>
          <w:szCs w:val="28"/>
          <w:highlight w:val="none"/>
          <w14:textFill>
            <w14:solidFill>
              <w14:schemeClr w14:val="tx1"/>
            </w14:solidFill>
          </w14:textFill>
        </w:rPr>
        <w:t xml:space="preserve"> 监狱企业证明材料</w:t>
      </w:r>
      <w:bookmarkEnd w:id="152"/>
      <w:r>
        <w:rPr>
          <w:rFonts w:hint="eastAsia" w:ascii="宋体" w:hAnsi="宋体" w:eastAsia="宋体" w:cs="宋体"/>
          <w:b/>
          <w:bCs/>
          <w:color w:val="000000" w:themeColor="text1"/>
          <w:kern w:val="0"/>
          <w:sz w:val="28"/>
          <w:szCs w:val="28"/>
          <w:highlight w:val="none"/>
          <w14:textFill>
            <w14:solidFill>
              <w14:schemeClr w14:val="tx1"/>
            </w14:solidFill>
          </w14:textFill>
        </w:rPr>
        <w:t>（若有）</w:t>
      </w:r>
    </w:p>
    <w:p w14:paraId="3725AE46">
      <w:pPr>
        <w:spacing w:line="360" w:lineRule="auto"/>
        <w:rPr>
          <w:rFonts w:ascii="宋体" w:hAnsi="宋体" w:eastAsia="宋体" w:cs="宋体"/>
          <w:b/>
          <w:color w:val="000000" w:themeColor="text1"/>
          <w:spacing w:val="6"/>
          <w:highlight w:val="none"/>
          <w14:textFill>
            <w14:solidFill>
              <w14:schemeClr w14:val="tx1"/>
            </w14:solidFill>
          </w14:textFill>
        </w:rPr>
      </w:pPr>
      <w:r>
        <w:rPr>
          <w:rFonts w:hint="eastAsia" w:ascii="宋体" w:hAnsi="宋体" w:eastAsia="宋体" w:cs="宋体"/>
          <w:b/>
          <w:color w:val="000000" w:themeColor="text1"/>
          <w:spacing w:val="6"/>
          <w:highlight w:val="none"/>
          <w14:textFill>
            <w14:solidFill>
              <w14:schemeClr w14:val="tx1"/>
            </w14:solidFill>
          </w14:textFill>
        </w:rPr>
        <w:t>说明</w:t>
      </w:r>
    </w:p>
    <w:p w14:paraId="5E623A8F">
      <w:pPr>
        <w:spacing w:line="360" w:lineRule="auto"/>
        <w:ind w:firstLine="480" w:firstLineChars="200"/>
        <w:rPr>
          <w:rFonts w:ascii="宋体" w:hAnsi="宋体" w:eastAsia="宋体" w:cs="宋体"/>
          <w:b/>
          <w:color w:val="000000" w:themeColor="text1"/>
          <w:spacing w:val="6"/>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1.监狱企业参加政府采购活动时，应当提供由省级以上监狱管理局、戒毒管理局(含新疆生产建设兵团)出具的属于监狱企业的证明文件。监狱企业参加政府采购活动时，视同小型、微型企业。</w:t>
      </w:r>
    </w:p>
    <w:p w14:paraId="199B24AA">
      <w:pPr>
        <w:spacing w:line="360" w:lineRule="auto"/>
        <w:ind w:firstLine="42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pacing w:val="6"/>
          <w:highlight w:val="none"/>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如未提供证明材料的，则其不能享受竞争性磋商文件规定的价格扣减，但不影响供应商</w:t>
      </w:r>
      <w:r>
        <w:rPr>
          <w:rFonts w:hint="eastAsia" w:ascii="宋体" w:hAnsi="宋体" w:eastAsia="宋体" w:cs="宋体"/>
          <w:bCs/>
          <w:color w:val="000000" w:themeColor="text1"/>
          <w:highlight w:val="none"/>
          <w:lang w:val="zh-CN"/>
          <w14:textFill>
            <w14:solidFill>
              <w14:schemeClr w14:val="tx1"/>
            </w14:solidFill>
          </w14:textFill>
        </w:rPr>
        <w:t>磋商响应</w:t>
      </w:r>
      <w:r>
        <w:rPr>
          <w:rFonts w:hint="eastAsia" w:ascii="宋体" w:hAnsi="宋体" w:eastAsia="宋体" w:cs="宋体"/>
          <w:color w:val="000000" w:themeColor="text1"/>
          <w:highlight w:val="none"/>
          <w14:textFill>
            <w14:solidFill>
              <w14:schemeClr w14:val="tx1"/>
            </w14:solidFill>
          </w14:textFill>
        </w:rPr>
        <w:t>文件的有效性。</w:t>
      </w:r>
    </w:p>
    <w:p w14:paraId="1B8A1F9C">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ab/>
      </w:r>
      <w:r>
        <w:rPr>
          <w:rFonts w:hint="eastAsia" w:ascii="宋体" w:hAnsi="宋体" w:eastAsia="宋体" w:cs="宋体"/>
          <w:color w:val="000000" w:themeColor="text1"/>
          <w:highlight w:val="none"/>
          <w14:textFill>
            <w14:solidFill>
              <w14:schemeClr w14:val="tx1"/>
            </w14:solidFill>
          </w14:textFill>
        </w:rPr>
        <w:t>3.非监狱企业可以不提供本材料。</w:t>
      </w:r>
    </w:p>
    <w:p w14:paraId="224A212A">
      <w:pPr>
        <w:spacing w:line="520" w:lineRule="exact"/>
        <w:jc w:val="center"/>
        <w:rPr>
          <w:rFonts w:ascii="宋体" w:hAnsi="宋体" w:eastAsia="宋体" w:cs="宋体"/>
          <w:b/>
          <w:bCs/>
          <w:color w:val="000000" w:themeColor="text1"/>
          <w:sz w:val="32"/>
          <w:szCs w:val="32"/>
          <w:highlight w:val="none"/>
          <w14:textFill>
            <w14:solidFill>
              <w14:schemeClr w14:val="tx1"/>
            </w14:solidFill>
          </w14:textFill>
        </w:rPr>
      </w:pPr>
    </w:p>
    <w:p w14:paraId="51ACBFB9">
      <w:pPr>
        <w:spacing w:line="520" w:lineRule="exact"/>
        <w:jc w:val="center"/>
        <w:rPr>
          <w:rFonts w:ascii="宋体" w:hAnsi="宋体" w:eastAsia="宋体" w:cs="宋体"/>
          <w:b/>
          <w:bCs/>
          <w:color w:val="000000" w:themeColor="text1"/>
          <w:sz w:val="32"/>
          <w:szCs w:val="32"/>
          <w:highlight w:val="none"/>
          <w14:textFill>
            <w14:solidFill>
              <w14:schemeClr w14:val="tx1"/>
            </w14:solidFill>
          </w14:textFill>
        </w:rPr>
      </w:pPr>
    </w:p>
    <w:p w14:paraId="4C0C0A4E">
      <w:pPr>
        <w:pStyle w:val="10"/>
        <w:spacing w:line="500" w:lineRule="exact"/>
        <w:ind w:firstLine="3078" w:firstLineChars="1175"/>
        <w:rPr>
          <w:rFonts w:ascii="宋体" w:hAnsi="宋体" w:cs="宋体"/>
          <w:spacing w:val="11"/>
          <w:kern w:val="0"/>
          <w:sz w:val="24"/>
          <w:szCs w:val="24"/>
          <w:highlight w:val="none"/>
          <w:u w:val="single"/>
        </w:rPr>
      </w:pPr>
      <w:r>
        <w:rPr>
          <w:rFonts w:hint="eastAsia" w:ascii="宋体" w:hAnsi="宋体" w:cs="宋体"/>
          <w:spacing w:val="11"/>
          <w:kern w:val="0"/>
          <w:sz w:val="24"/>
          <w:szCs w:val="24"/>
          <w:highlight w:val="none"/>
        </w:rPr>
        <w:t>企业名称：</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（公章）</w:t>
      </w:r>
    </w:p>
    <w:p w14:paraId="7B203E16">
      <w:pPr>
        <w:pStyle w:val="10"/>
        <w:spacing w:line="500" w:lineRule="exact"/>
        <w:ind w:firstLine="3078" w:firstLineChars="1175"/>
        <w:rPr>
          <w:rFonts w:ascii="宋体" w:hAnsi="宋体" w:cs="宋体"/>
          <w:spacing w:val="11"/>
          <w:kern w:val="0"/>
          <w:sz w:val="24"/>
          <w:szCs w:val="24"/>
          <w:highlight w:val="none"/>
        </w:rPr>
      </w:pPr>
      <w:r>
        <w:rPr>
          <w:rFonts w:hint="eastAsia" w:ascii="宋体" w:hAnsi="宋体" w:cs="宋体"/>
          <w:spacing w:val="11"/>
          <w:kern w:val="0"/>
          <w:sz w:val="24"/>
          <w:szCs w:val="24"/>
          <w:highlight w:val="none"/>
        </w:rPr>
        <w:t>日    期：</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年</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月</w:t>
      </w:r>
      <w:r>
        <w:rPr>
          <w:rFonts w:hint="eastAsia" w:ascii="宋体" w:hAnsi="宋体" w:cs="宋体"/>
          <w:spacing w:val="11"/>
          <w:kern w:val="0"/>
          <w:sz w:val="24"/>
          <w:szCs w:val="24"/>
          <w:highlight w:val="none"/>
          <w:u w:val="single"/>
        </w:rPr>
        <w:t xml:space="preserve">      </w:t>
      </w:r>
      <w:r>
        <w:rPr>
          <w:rFonts w:hint="eastAsia" w:ascii="宋体" w:hAnsi="宋体" w:cs="宋体"/>
          <w:spacing w:val="11"/>
          <w:kern w:val="0"/>
          <w:sz w:val="24"/>
          <w:szCs w:val="24"/>
          <w:highlight w:val="none"/>
        </w:rPr>
        <w:t>日</w:t>
      </w:r>
    </w:p>
    <w:p w14:paraId="53307A86">
      <w:pPr>
        <w:tabs>
          <w:tab w:val="left" w:pos="4860"/>
        </w:tabs>
        <w:spacing w:line="360" w:lineRule="auto"/>
        <w:ind w:right="1560" w:firstLine="504" w:firstLineChars="200"/>
        <w:jc w:val="center"/>
        <w:rPr>
          <w:rFonts w:ascii="宋体" w:hAnsi="宋体" w:eastAsia="宋体" w:cs="宋体"/>
          <w:color w:val="000000" w:themeColor="text1"/>
          <w:spacing w:val="6"/>
          <w:szCs w:val="24"/>
          <w:highlight w:val="none"/>
          <w14:textFill>
            <w14:solidFill>
              <w14:schemeClr w14:val="tx1"/>
            </w14:solidFill>
          </w14:textFill>
        </w:rPr>
      </w:pPr>
    </w:p>
    <w:p w14:paraId="293F60AA">
      <w:pPr>
        <w:rPr>
          <w:rFonts w:ascii="宋体" w:hAnsi="宋体" w:eastAsia="宋体" w:cs="宋体"/>
          <w:b/>
          <w:color w:val="000000" w:themeColor="text1"/>
          <w:sz w:val="44"/>
          <w:szCs w:val="44"/>
          <w:highlight w:val="none"/>
          <w14:textFill>
            <w14:solidFill>
              <w14:schemeClr w14:val="tx1"/>
            </w14:solidFill>
          </w14:textFill>
        </w:rPr>
      </w:pPr>
    </w:p>
    <w:p w14:paraId="4C67B997">
      <w:pPr>
        <w:pStyle w:val="13"/>
        <w:rPr>
          <w:rFonts w:ascii="宋体" w:hAnsi="宋体" w:eastAsia="宋体" w:cs="宋体"/>
          <w:b/>
          <w:color w:val="000000" w:themeColor="text1"/>
          <w:sz w:val="44"/>
          <w:szCs w:val="44"/>
          <w:highlight w:val="none"/>
          <w14:textFill>
            <w14:solidFill>
              <w14:schemeClr w14:val="tx1"/>
            </w14:solidFill>
          </w14:textFill>
        </w:rPr>
      </w:pPr>
    </w:p>
    <w:p w14:paraId="7C5D8FB4">
      <w:pPr>
        <w:rPr>
          <w:rFonts w:ascii="宋体" w:hAnsi="宋体" w:eastAsia="宋体" w:cs="宋体"/>
          <w:b/>
          <w:color w:val="000000" w:themeColor="text1"/>
          <w:sz w:val="44"/>
          <w:szCs w:val="44"/>
          <w:highlight w:val="none"/>
          <w14:textFill>
            <w14:solidFill>
              <w14:schemeClr w14:val="tx1"/>
            </w14:solidFill>
          </w14:textFill>
        </w:rPr>
      </w:pPr>
    </w:p>
    <w:p w14:paraId="33300245">
      <w:pPr>
        <w:pStyle w:val="13"/>
        <w:rPr>
          <w:rFonts w:ascii="宋体" w:hAnsi="宋体" w:eastAsia="宋体" w:cs="宋体"/>
          <w:b/>
          <w:color w:val="000000" w:themeColor="text1"/>
          <w:sz w:val="44"/>
          <w:szCs w:val="44"/>
          <w:highlight w:val="none"/>
          <w14:textFill>
            <w14:solidFill>
              <w14:schemeClr w14:val="tx1"/>
            </w14:solidFill>
          </w14:textFill>
        </w:rPr>
      </w:pPr>
    </w:p>
    <w:p w14:paraId="29935DB1">
      <w:pPr>
        <w:rPr>
          <w:rFonts w:ascii="宋体" w:hAnsi="宋体" w:eastAsia="宋体" w:cs="宋体"/>
          <w:b/>
          <w:color w:val="000000" w:themeColor="text1"/>
          <w:sz w:val="44"/>
          <w:szCs w:val="44"/>
          <w:highlight w:val="none"/>
          <w14:textFill>
            <w14:solidFill>
              <w14:schemeClr w14:val="tx1"/>
            </w14:solidFill>
          </w14:textFill>
        </w:rPr>
      </w:pPr>
    </w:p>
    <w:p w14:paraId="5332C139">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546F87E3">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7BCA177A">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2989D494">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11F88D02">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451DF3C0">
      <w:pPr>
        <w:spacing w:line="600" w:lineRule="auto"/>
        <w:rPr>
          <w:rFonts w:hint="eastAsia" w:ascii="宋体" w:hAnsi="宋体" w:eastAsia="宋体" w:cs="宋体"/>
          <w:b/>
          <w:bCs/>
          <w:color w:val="000000" w:themeColor="text1"/>
          <w:szCs w:val="28"/>
          <w14:textFill>
            <w14:solidFill>
              <w14:schemeClr w14:val="tx1"/>
            </w14:solidFill>
          </w14:textFill>
        </w:rPr>
      </w:pPr>
    </w:p>
    <w:p w14:paraId="4F3F7103">
      <w:pPr>
        <w:spacing w:line="600" w:lineRule="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附件四：《“节能产品”“环境标志产品”说明》</w:t>
      </w:r>
    </w:p>
    <w:p w14:paraId="290B21AA">
      <w:pPr>
        <w:spacing w:line="600" w:lineRule="auto"/>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“节能产品”“环境标志产品”说明（若有）</w:t>
      </w:r>
    </w:p>
    <w:p w14:paraId="0F7C40D9">
      <w:pPr>
        <w:pStyle w:val="1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说明</w:t>
      </w:r>
    </w:p>
    <w:p w14:paraId="77C88494">
      <w:pPr>
        <w:spacing w:line="600" w:lineRule="auto"/>
        <w:jc w:val="center"/>
        <w:rPr>
          <w:rFonts w:hint="eastAsia" w:ascii="宋体" w:hAnsi="宋体" w:eastAsia="宋体" w:cs="宋体"/>
          <w:b/>
          <w:bCs/>
          <w:color w:val="000000" w:themeColor="text1"/>
          <w:sz w:val="21"/>
          <w:szCs w:val="21"/>
          <w14:textFill>
            <w14:solidFill>
              <w14:schemeClr w14:val="tx1"/>
            </w14:solidFill>
          </w14:textFill>
        </w:rPr>
      </w:pPr>
    </w:p>
    <w:p w14:paraId="368E1B85">
      <w:pPr>
        <w:pStyle w:val="13"/>
        <w:rPr>
          <w:rFonts w:hint="eastAsia" w:ascii="宋体" w:hAnsi="宋体" w:eastAsia="宋体" w:cs="宋体"/>
          <w:sz w:val="21"/>
          <w:szCs w:val="21"/>
        </w:rPr>
      </w:pPr>
    </w:p>
    <w:p w14:paraId="47311FCE">
      <w:pPr>
        <w:spacing w:line="480" w:lineRule="auto"/>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供应商</w:t>
      </w:r>
      <w:r>
        <w:rPr>
          <w:rFonts w:hint="eastAsia" w:ascii="宋体" w:hAnsi="宋体" w:eastAsia="宋体" w:cs="宋体"/>
          <w:color w:val="000000" w:themeColor="text1"/>
          <w:sz w:val="21"/>
          <w:szCs w:val="21"/>
          <w14:textFill>
            <w14:solidFill>
              <w14:schemeClr w14:val="tx1"/>
            </w14:solidFill>
          </w14:textFill>
        </w:rPr>
        <w:t>应当提供国家确定的认证机构出具的、处于有效期之内的节能产品、环境标志产品认证证书。</w:t>
      </w:r>
    </w:p>
    <w:p w14:paraId="707FBB10">
      <w:pPr>
        <w:spacing w:line="480" w:lineRule="auto"/>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2.非“节能产品”“环境标志产品”可以不提供本材料。</w:t>
      </w:r>
    </w:p>
    <w:p w14:paraId="30719BEA">
      <w:pPr>
        <w:pStyle w:val="10"/>
        <w:spacing w:line="500" w:lineRule="exact"/>
        <w:ind w:firstLine="2726" w:firstLineChars="1175"/>
        <w:rPr>
          <w:rFonts w:hint="eastAsia" w:ascii="宋体" w:hAnsi="宋体" w:eastAsia="宋体" w:cs="宋体"/>
          <w:spacing w:val="11"/>
          <w:kern w:val="0"/>
          <w:sz w:val="21"/>
          <w:szCs w:val="21"/>
          <w:u w:val="single"/>
        </w:rPr>
      </w:pPr>
      <w:r>
        <w:rPr>
          <w:rFonts w:hint="eastAsia" w:ascii="宋体" w:hAnsi="宋体" w:eastAsia="宋体" w:cs="宋体"/>
          <w:spacing w:val="11"/>
          <w:kern w:val="0"/>
          <w:sz w:val="21"/>
          <w:szCs w:val="21"/>
        </w:rPr>
        <w:t>企业名称（盖章）：</w:t>
      </w:r>
      <w:r>
        <w:rPr>
          <w:rFonts w:hint="eastAsia" w:ascii="宋体" w:hAnsi="宋体" w:eastAsia="宋体" w:cs="宋体"/>
          <w:spacing w:val="11"/>
          <w:kern w:val="0"/>
          <w:sz w:val="21"/>
          <w:szCs w:val="21"/>
          <w:u w:val="single"/>
        </w:rPr>
        <w:t xml:space="preserve">                  </w:t>
      </w:r>
    </w:p>
    <w:p w14:paraId="754A95C6">
      <w:pPr>
        <w:pStyle w:val="10"/>
        <w:spacing w:line="500" w:lineRule="exact"/>
        <w:ind w:firstLine="2726" w:firstLineChars="1175"/>
        <w:rPr>
          <w:rFonts w:hint="eastAsia" w:ascii="宋体" w:hAnsi="宋体" w:eastAsia="宋体" w:cs="宋体"/>
          <w:spacing w:val="11"/>
          <w:kern w:val="0"/>
          <w:sz w:val="21"/>
          <w:szCs w:val="21"/>
        </w:rPr>
      </w:pPr>
      <w:r>
        <w:rPr>
          <w:rFonts w:hint="eastAsia" w:ascii="宋体" w:hAnsi="宋体" w:eastAsia="宋体" w:cs="宋体"/>
          <w:spacing w:val="11"/>
          <w:kern w:val="0"/>
          <w:sz w:val="21"/>
          <w:szCs w:val="21"/>
        </w:rPr>
        <w:t>日   期：</w:t>
      </w:r>
      <w:r>
        <w:rPr>
          <w:rFonts w:hint="eastAsia" w:ascii="宋体" w:hAnsi="宋体" w:eastAsia="宋体" w:cs="宋体"/>
          <w:spacing w:val="11"/>
          <w:kern w:val="0"/>
          <w:sz w:val="21"/>
          <w:szCs w:val="21"/>
          <w:u w:val="single"/>
        </w:rPr>
        <w:t xml:space="preserve">          </w:t>
      </w:r>
      <w:r>
        <w:rPr>
          <w:rFonts w:hint="eastAsia" w:ascii="宋体" w:hAnsi="宋体" w:eastAsia="宋体" w:cs="宋体"/>
          <w:spacing w:val="11"/>
          <w:kern w:val="0"/>
          <w:sz w:val="21"/>
          <w:szCs w:val="21"/>
        </w:rPr>
        <w:t>年</w:t>
      </w:r>
      <w:r>
        <w:rPr>
          <w:rFonts w:hint="eastAsia" w:ascii="宋体" w:hAnsi="宋体" w:eastAsia="宋体" w:cs="宋体"/>
          <w:spacing w:val="11"/>
          <w:kern w:val="0"/>
          <w:sz w:val="21"/>
          <w:szCs w:val="21"/>
          <w:u w:val="single"/>
        </w:rPr>
        <w:t xml:space="preserve">     </w:t>
      </w:r>
      <w:r>
        <w:rPr>
          <w:rFonts w:hint="eastAsia" w:ascii="宋体" w:hAnsi="宋体" w:eastAsia="宋体" w:cs="宋体"/>
          <w:spacing w:val="11"/>
          <w:kern w:val="0"/>
          <w:sz w:val="21"/>
          <w:szCs w:val="21"/>
        </w:rPr>
        <w:t>月</w:t>
      </w:r>
      <w:r>
        <w:rPr>
          <w:rFonts w:hint="eastAsia" w:ascii="宋体" w:hAnsi="宋体" w:eastAsia="宋体" w:cs="宋体"/>
          <w:spacing w:val="11"/>
          <w:kern w:val="0"/>
          <w:sz w:val="21"/>
          <w:szCs w:val="21"/>
          <w:u w:val="single"/>
        </w:rPr>
        <w:t xml:space="preserve">     </w:t>
      </w:r>
      <w:r>
        <w:rPr>
          <w:rFonts w:hint="eastAsia" w:ascii="宋体" w:hAnsi="宋体" w:eastAsia="宋体" w:cs="宋体"/>
          <w:spacing w:val="11"/>
          <w:kern w:val="0"/>
          <w:sz w:val="21"/>
          <w:szCs w:val="21"/>
        </w:rPr>
        <w:t>日</w:t>
      </w:r>
    </w:p>
    <w:p w14:paraId="518F51FE">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1CFA2BF7">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7F1A21B5">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17589651">
      <w:pPr>
        <w:pStyle w:val="36"/>
        <w:ind w:firstLine="883"/>
        <w:rPr>
          <w:rFonts w:ascii="宋体" w:hAnsi="宋体" w:eastAsia="宋体" w:cs="宋体"/>
          <w:b/>
          <w:color w:val="000000" w:themeColor="text1"/>
          <w:sz w:val="44"/>
          <w:szCs w:val="44"/>
          <w:highlight w:val="none"/>
          <w14:textFill>
            <w14:solidFill>
              <w14:schemeClr w14:val="tx1"/>
            </w14:solidFill>
          </w14:textFill>
        </w:rPr>
      </w:pPr>
    </w:p>
    <w:p w14:paraId="47B752B5">
      <w:pPr>
        <w:rPr>
          <w:rFonts w:ascii="宋体" w:hAnsi="宋体" w:eastAsia="宋体" w:cs="宋体"/>
          <w:b/>
          <w:bCs/>
          <w:color w:val="000000" w:themeColor="text1"/>
          <w:szCs w:val="28"/>
          <w:highlight w:val="none"/>
          <w14:textFill>
            <w14:solidFill>
              <w14:schemeClr w14:val="tx1"/>
            </w14:solidFill>
          </w14:textFill>
        </w:rPr>
      </w:pPr>
    </w:p>
    <w:sectPr>
      <w:headerReference r:id="rId8" w:type="default"/>
      <w:footerReference r:id="rId9" w:type="default"/>
      <w:pgSz w:w="11907" w:h="16840"/>
      <w:pgMar w:top="1440" w:right="1080" w:bottom="1440" w:left="1080" w:header="935" w:footer="771" w:gutter="567"/>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300000000000000"/>
    <w:charset w:val="88"/>
    <w:family w:val="auto"/>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font-weight : 400">
    <w:altName w:val="Courier New"/>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6A673">
    <w:pPr>
      <w:pStyle w:val="2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0BE71">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7D0BE71">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9F97C">
    <w:pPr>
      <w:pStyle w:val="2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F92EF">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4F92EF">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666988"/>
      <w:docPartObj>
        <w:docPartGallery w:val="autotext"/>
      </w:docPartObj>
    </w:sdtPr>
    <w:sdtContent>
      <w:p w14:paraId="3F660BC8">
        <w:pPr>
          <w:pStyle w:val="22"/>
          <w:jc w:val="center"/>
        </w:pPr>
        <w:r>
          <w:fldChar w:fldCharType="begin"/>
        </w:r>
        <w:r>
          <w:instrText xml:space="preserve">PAGE   \* MERGEFORMAT</w:instrText>
        </w:r>
        <w:r>
          <w:fldChar w:fldCharType="separate"/>
        </w:r>
        <w:r>
          <w:rPr>
            <w:lang w:val="zh-CN"/>
          </w:rPr>
          <w:t>7</w:t>
        </w:r>
        <w:r>
          <w:fldChar w:fldCharType="end"/>
        </w:r>
      </w:p>
    </w:sdtContent>
  </w:sdt>
  <w:p w14:paraId="163BE5FE">
    <w:pPr>
      <w:pStyle w:val="13"/>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4297E">
    <w:pPr>
      <w:pStyle w:val="2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6B7A77">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16B7A77">
                    <w:pPr>
                      <w:pStyle w:val="22"/>
                    </w:pPr>
                    <w:r>
                      <w:fldChar w:fldCharType="begin"/>
                    </w:r>
                    <w:r>
                      <w:instrText xml:space="preserve"> PAGE  \* MERGEFORMAT </w:instrText>
                    </w:r>
                    <w:r>
                      <w:fldChar w:fldCharType="separate"/>
                    </w:r>
                    <w:r>
                      <w:t>1</w:t>
                    </w:r>
                    <w:r>
                      <w:fldChar w:fldCharType="end"/>
                    </w:r>
                  </w:p>
                </w:txbxContent>
              </v:textbox>
            </v:shape>
          </w:pict>
        </mc:Fallback>
      </mc:AlternateContent>
    </w:r>
  </w:p>
  <w:p w14:paraId="77B6F4C6">
    <w:pPr>
      <w:pStyle w:val="2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B7E8C">
    <w:pPr>
      <w:pStyle w:val="2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11BEE">
                          <w:pPr>
                            <w:pStyle w:val="22"/>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D311BEE">
                    <w:pPr>
                      <w:pStyle w:val="22"/>
                    </w:pPr>
                    <w:r>
                      <w:fldChar w:fldCharType="begin"/>
                    </w:r>
                    <w:r>
                      <w:instrText xml:space="preserve"> PAGE  \* MERGEFORMAT </w:instrText>
                    </w:r>
                    <w:r>
                      <w:fldChar w:fldCharType="separate"/>
                    </w:r>
                    <w:r>
                      <w:t>61</w:t>
                    </w:r>
                    <w:r>
                      <w:fldChar w:fldCharType="end"/>
                    </w:r>
                  </w:p>
                </w:txbxContent>
              </v:textbox>
            </v:shape>
          </w:pict>
        </mc:Fallback>
      </mc:AlternateContent>
    </w:r>
  </w:p>
  <w:p w14:paraId="06D85478">
    <w:pPr>
      <w:pStyle w:val="13"/>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A17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F5CC7">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6E10CE"/>
    <w:multiLevelType w:val="singleLevel"/>
    <w:tmpl w:val="AA6E10CE"/>
    <w:lvl w:ilvl="0" w:tentative="0">
      <w:start w:val="3"/>
      <w:numFmt w:val="decimal"/>
      <w:suff w:val="nothing"/>
      <w:lvlText w:val="%1、"/>
      <w:lvlJc w:val="left"/>
    </w:lvl>
  </w:abstractNum>
  <w:abstractNum w:abstractNumId="1">
    <w:nsid w:val="AFD2CCB1"/>
    <w:multiLevelType w:val="singleLevel"/>
    <w:tmpl w:val="AFD2CCB1"/>
    <w:lvl w:ilvl="0" w:tentative="0">
      <w:start w:val="1"/>
      <w:numFmt w:val="chineseCounting"/>
      <w:suff w:val="nothing"/>
      <w:lvlText w:val="（%1）"/>
      <w:lvlJc w:val="left"/>
      <w:pPr>
        <w:ind w:left="480" w:leftChars="0" w:firstLine="0" w:firstLineChars="0"/>
      </w:pPr>
      <w:rPr>
        <w:rFonts w:hint="eastAsia"/>
      </w:rPr>
    </w:lvl>
  </w:abstractNum>
  <w:abstractNum w:abstractNumId="2">
    <w:nsid w:val="DB860BB7"/>
    <w:multiLevelType w:val="singleLevel"/>
    <w:tmpl w:val="DB860BB7"/>
    <w:lvl w:ilvl="0" w:tentative="0">
      <w:start w:val="2"/>
      <w:numFmt w:val="decimal"/>
      <w:suff w:val="nothing"/>
      <w:lvlText w:val="%1、"/>
      <w:lvlJc w:val="left"/>
    </w:lvl>
  </w:abstractNum>
  <w:abstractNum w:abstractNumId="3">
    <w:nsid w:val="DBCDAD84"/>
    <w:multiLevelType w:val="singleLevel"/>
    <w:tmpl w:val="DBCDAD84"/>
    <w:lvl w:ilvl="0" w:tentative="0">
      <w:start w:val="1"/>
      <w:numFmt w:val="decimal"/>
      <w:suff w:val="nothing"/>
      <w:lvlText w:val="%1）"/>
      <w:lvlJc w:val="left"/>
    </w:lvl>
  </w:abstractNum>
  <w:abstractNum w:abstractNumId="4">
    <w:nsid w:val="23175427"/>
    <w:multiLevelType w:val="multilevel"/>
    <w:tmpl w:val="23175427"/>
    <w:lvl w:ilvl="0" w:tentative="0">
      <w:start w:val="1"/>
      <w:numFmt w:val="decimal"/>
      <w:isLgl/>
      <w:suff w:val="space"/>
      <w:lvlText w:val="第%1章"/>
      <w:lvlJc w:val="left"/>
      <w:pPr>
        <w:ind w:left="0" w:firstLine="0"/>
      </w:pPr>
      <w:rPr>
        <w:rFonts w:hint="default" w:ascii="Times New Roman" w:hAnsi="Times New Roman" w:eastAsia="宋体" w:cs="Times New Roman"/>
        <w:b/>
        <w:bCs w:val="0"/>
        <w:i w:val="0"/>
        <w:iCs w:val="0"/>
        <w:caps w:val="0"/>
        <w:strike w:val="0"/>
        <w:dstrike w:val="0"/>
        <w:vanish w:val="0"/>
        <w:color w:val="000000"/>
        <w:spacing w:val="0"/>
        <w:position w:val="0"/>
        <w:sz w:val="44"/>
        <w:u w:val="none"/>
        <w:vertAlign w:val="baseline"/>
      </w:rPr>
    </w:lvl>
    <w:lvl w:ilvl="1" w:tentative="0">
      <w:start w:val="1"/>
      <w:numFmt w:val="decimal"/>
      <w:isLgl/>
      <w:suff w:val="space"/>
      <w:lvlText w:val="%1.%2"/>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lang w:val="zh-CN" w:eastAsia="zh-CN"/>
      </w:rPr>
    </w:lvl>
    <w:lvl w:ilvl="2" w:tentative="0">
      <w:start w:val="1"/>
      <w:numFmt w:val="decimal"/>
      <w:pStyle w:val="4"/>
      <w:isLgl/>
      <w:suff w:val="space"/>
      <w:lvlText w:val="%1.%2.%3"/>
      <w:lvlJc w:val="left"/>
      <w:pPr>
        <w:ind w:left="0" w:firstLine="0"/>
      </w:pPr>
      <w:rPr>
        <w:rFonts w:hint="default" w:ascii="Times New Roman" w:hAnsi="Times New Roman" w:eastAsia="宋体" w:cs="Times New Roman"/>
        <w:b/>
        <w:bCs w:val="0"/>
        <w:i w:val="0"/>
        <w:iCs w:val="0"/>
        <w:caps w:val="0"/>
        <w:smallCaps w:val="0"/>
        <w:strike w:val="0"/>
        <w:dstrike w:val="0"/>
        <w:vanish w:val="0"/>
        <w:color w:val="000000"/>
        <w:spacing w:val="0"/>
        <w:position w:val="0"/>
        <w:sz w:val="28"/>
        <w:u w:val="none"/>
        <w:vertAlign w:val="baseline"/>
      </w:rPr>
    </w:lvl>
    <w:lvl w:ilvl="3" w:tentative="0">
      <w:start w:val="1"/>
      <w:numFmt w:val="decimal"/>
      <w:pStyle w:val="5"/>
      <w:isLgl/>
      <w:suff w:val="space"/>
      <w:lvlText w:val="%1.%2.%3.%4"/>
      <w:lvlJc w:val="left"/>
      <w:pPr>
        <w:ind w:left="0" w:firstLine="0"/>
      </w:pPr>
      <w:rPr>
        <w:rFonts w:hint="default" w:ascii="Times New Roman" w:hAnsi="Times New Roman" w:eastAsia="宋体" w:cs="Times New Roman"/>
        <w:b/>
        <w:bCs w:val="0"/>
        <w:i w:val="0"/>
        <w:iCs w:val="0"/>
        <w:caps w:val="0"/>
        <w:smallCaps w:val="0"/>
        <w:strike w:val="0"/>
        <w:dstrike w:val="0"/>
        <w:vanish w:val="0"/>
        <w:color w:val="auto"/>
        <w:spacing w:val="0"/>
        <w:position w:val="0"/>
        <w:sz w:val="30"/>
        <w:u w:val="none"/>
        <w:vertAlign w:val="baseline"/>
      </w:rPr>
    </w:lvl>
    <w:lvl w:ilvl="4" w:tentative="0">
      <w:start w:val="1"/>
      <w:numFmt w:val="decimal"/>
      <w:isLgl/>
      <w:suff w:val="space"/>
      <w:lvlText w:val="%1.%2.%3.%4.%5"/>
      <w:lvlJc w:val="center"/>
      <w:pPr>
        <w:ind w:left="1134" w:firstLine="0"/>
      </w:pPr>
      <w:rPr>
        <w:rFonts w:hint="eastAsia" w:cs="Times New Roman"/>
        <w:b/>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center"/>
      <w:pPr>
        <w:ind w:left="624" w:firstLine="794"/>
      </w:pPr>
      <w:rPr>
        <w:rFonts w:hint="default" w:ascii="Times New Roman" w:hAnsi="Times New Roman" w:eastAsia="宋体"/>
        <w:b/>
        <w:i w:val="0"/>
        <w:sz w:val="24"/>
      </w:rPr>
    </w:lvl>
    <w:lvl w:ilvl="6" w:tentative="0">
      <w:start w:val="1"/>
      <w:numFmt w:val="decimal"/>
      <w:isLgl/>
      <w:lvlText w:val="%1.%2.%3.%4.%5.%6.%7"/>
      <w:lvlJc w:val="left"/>
      <w:pPr>
        <w:tabs>
          <w:tab w:val="left" w:pos="1134"/>
        </w:tabs>
        <w:ind w:left="1134" w:hanging="283"/>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5">
    <w:nsid w:val="3BB01D76"/>
    <w:multiLevelType w:val="singleLevel"/>
    <w:tmpl w:val="3BB01D76"/>
    <w:lvl w:ilvl="0" w:tentative="0">
      <w:start w:val="1"/>
      <w:numFmt w:val="decimal"/>
      <w:suff w:val="nothing"/>
      <w:lvlText w:val="%1、"/>
      <w:lvlJc w:val="left"/>
    </w:lvl>
  </w:abstractNum>
  <w:abstractNum w:abstractNumId="6">
    <w:nsid w:val="576A36EB"/>
    <w:multiLevelType w:val="singleLevel"/>
    <w:tmpl w:val="576A36EB"/>
    <w:lvl w:ilvl="0" w:tentative="0">
      <w:start w:val="1"/>
      <w:numFmt w:val="decimal"/>
      <w:suff w:val="nothing"/>
      <w:lvlText w:val="（%1）"/>
      <w:lvlJc w:val="left"/>
    </w:lvl>
  </w:abstractNum>
  <w:num w:numId="1">
    <w:abstractNumId w:val="4"/>
  </w:num>
  <w:num w:numId="2">
    <w:abstractNumId w:val="5"/>
  </w:num>
  <w:num w:numId="3">
    <w:abstractNumId w:val="6"/>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dit="forms"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5ZTYxMDA3MjM4ZDg3M2Y0Yjg4NmRkODdmMDU2YWIifQ=="/>
  </w:docVars>
  <w:rsids>
    <w:rsidRoot w:val="41465FC8"/>
    <w:rsid w:val="00003426"/>
    <w:rsid w:val="00006FA1"/>
    <w:rsid w:val="00022236"/>
    <w:rsid w:val="0002408A"/>
    <w:rsid w:val="00036FC1"/>
    <w:rsid w:val="00043E20"/>
    <w:rsid w:val="0004523C"/>
    <w:rsid w:val="00047FBB"/>
    <w:rsid w:val="00052451"/>
    <w:rsid w:val="00063415"/>
    <w:rsid w:val="000710E4"/>
    <w:rsid w:val="00074089"/>
    <w:rsid w:val="000745EA"/>
    <w:rsid w:val="00080B79"/>
    <w:rsid w:val="00087371"/>
    <w:rsid w:val="00095FBD"/>
    <w:rsid w:val="000A2883"/>
    <w:rsid w:val="000A6D46"/>
    <w:rsid w:val="000A781D"/>
    <w:rsid w:val="000B3D41"/>
    <w:rsid w:val="000B42F1"/>
    <w:rsid w:val="000B4395"/>
    <w:rsid w:val="000B5F4B"/>
    <w:rsid w:val="000B639E"/>
    <w:rsid w:val="000C58D2"/>
    <w:rsid w:val="000C5F95"/>
    <w:rsid w:val="000E3F51"/>
    <w:rsid w:val="000F0940"/>
    <w:rsid w:val="000F3171"/>
    <w:rsid w:val="000F5EF9"/>
    <w:rsid w:val="000F669A"/>
    <w:rsid w:val="00104386"/>
    <w:rsid w:val="0010649D"/>
    <w:rsid w:val="001077DC"/>
    <w:rsid w:val="0011052E"/>
    <w:rsid w:val="0011163A"/>
    <w:rsid w:val="00125AAB"/>
    <w:rsid w:val="001339BF"/>
    <w:rsid w:val="001628A6"/>
    <w:rsid w:val="00164B0E"/>
    <w:rsid w:val="0017021E"/>
    <w:rsid w:val="00173405"/>
    <w:rsid w:val="00180FB1"/>
    <w:rsid w:val="00194343"/>
    <w:rsid w:val="001A713F"/>
    <w:rsid w:val="001B1285"/>
    <w:rsid w:val="001B5312"/>
    <w:rsid w:val="001B5F2A"/>
    <w:rsid w:val="001D7251"/>
    <w:rsid w:val="001F436E"/>
    <w:rsid w:val="001F6EAC"/>
    <w:rsid w:val="00205593"/>
    <w:rsid w:val="00210ACE"/>
    <w:rsid w:val="00221372"/>
    <w:rsid w:val="00223B5F"/>
    <w:rsid w:val="00233075"/>
    <w:rsid w:val="00240CC9"/>
    <w:rsid w:val="002413C2"/>
    <w:rsid w:val="00243FFC"/>
    <w:rsid w:val="0024780A"/>
    <w:rsid w:val="00251F4A"/>
    <w:rsid w:val="00254B37"/>
    <w:rsid w:val="002615D5"/>
    <w:rsid w:val="002702A9"/>
    <w:rsid w:val="00277BB8"/>
    <w:rsid w:val="002914A5"/>
    <w:rsid w:val="002A0102"/>
    <w:rsid w:val="002A14F9"/>
    <w:rsid w:val="002A3E1E"/>
    <w:rsid w:val="002C138B"/>
    <w:rsid w:val="002C3078"/>
    <w:rsid w:val="002D12CD"/>
    <w:rsid w:val="002D478D"/>
    <w:rsid w:val="003144C7"/>
    <w:rsid w:val="00321DB7"/>
    <w:rsid w:val="003236B2"/>
    <w:rsid w:val="00326E49"/>
    <w:rsid w:val="003375D5"/>
    <w:rsid w:val="00354D74"/>
    <w:rsid w:val="00361B18"/>
    <w:rsid w:val="0036229A"/>
    <w:rsid w:val="00373096"/>
    <w:rsid w:val="00385303"/>
    <w:rsid w:val="00387E0C"/>
    <w:rsid w:val="003923C1"/>
    <w:rsid w:val="003A525C"/>
    <w:rsid w:val="003B599E"/>
    <w:rsid w:val="003C133E"/>
    <w:rsid w:val="003C2E65"/>
    <w:rsid w:val="003C5166"/>
    <w:rsid w:val="003D6DF0"/>
    <w:rsid w:val="003F1588"/>
    <w:rsid w:val="003F2227"/>
    <w:rsid w:val="003F25AC"/>
    <w:rsid w:val="00402C0F"/>
    <w:rsid w:val="004038A4"/>
    <w:rsid w:val="00405BC2"/>
    <w:rsid w:val="004127A6"/>
    <w:rsid w:val="00412931"/>
    <w:rsid w:val="00413C8B"/>
    <w:rsid w:val="004318F1"/>
    <w:rsid w:val="00440FC6"/>
    <w:rsid w:val="00441ACA"/>
    <w:rsid w:val="0044501A"/>
    <w:rsid w:val="00445EE2"/>
    <w:rsid w:val="00446139"/>
    <w:rsid w:val="00453050"/>
    <w:rsid w:val="00457797"/>
    <w:rsid w:val="00457CC4"/>
    <w:rsid w:val="00460062"/>
    <w:rsid w:val="0047413C"/>
    <w:rsid w:val="00476F70"/>
    <w:rsid w:val="00485062"/>
    <w:rsid w:val="00486CB6"/>
    <w:rsid w:val="004A6797"/>
    <w:rsid w:val="004B2005"/>
    <w:rsid w:val="004D0132"/>
    <w:rsid w:val="004D4A1B"/>
    <w:rsid w:val="004E54F3"/>
    <w:rsid w:val="0051051A"/>
    <w:rsid w:val="00520765"/>
    <w:rsid w:val="005221E3"/>
    <w:rsid w:val="00533556"/>
    <w:rsid w:val="00545181"/>
    <w:rsid w:val="00553147"/>
    <w:rsid w:val="00572B97"/>
    <w:rsid w:val="00575BA0"/>
    <w:rsid w:val="0057675F"/>
    <w:rsid w:val="00590C69"/>
    <w:rsid w:val="005918EA"/>
    <w:rsid w:val="005B45BD"/>
    <w:rsid w:val="005C6F6A"/>
    <w:rsid w:val="005D07E1"/>
    <w:rsid w:val="005D1853"/>
    <w:rsid w:val="005E034A"/>
    <w:rsid w:val="005E0FB5"/>
    <w:rsid w:val="005E5ADA"/>
    <w:rsid w:val="005E6D4F"/>
    <w:rsid w:val="005E705B"/>
    <w:rsid w:val="005F3C74"/>
    <w:rsid w:val="005F7E3A"/>
    <w:rsid w:val="00617766"/>
    <w:rsid w:val="00622BD1"/>
    <w:rsid w:val="006272B9"/>
    <w:rsid w:val="006277AE"/>
    <w:rsid w:val="00631178"/>
    <w:rsid w:val="006322E7"/>
    <w:rsid w:val="00635354"/>
    <w:rsid w:val="006367EA"/>
    <w:rsid w:val="00650084"/>
    <w:rsid w:val="006538C4"/>
    <w:rsid w:val="0065785F"/>
    <w:rsid w:val="00660821"/>
    <w:rsid w:val="00665735"/>
    <w:rsid w:val="006750CF"/>
    <w:rsid w:val="006754F5"/>
    <w:rsid w:val="00675555"/>
    <w:rsid w:val="00681211"/>
    <w:rsid w:val="006A1431"/>
    <w:rsid w:val="006B0903"/>
    <w:rsid w:val="006B23F5"/>
    <w:rsid w:val="006B5229"/>
    <w:rsid w:val="006E2733"/>
    <w:rsid w:val="006F3A8C"/>
    <w:rsid w:val="006F435D"/>
    <w:rsid w:val="007059A5"/>
    <w:rsid w:val="0071166B"/>
    <w:rsid w:val="007152F2"/>
    <w:rsid w:val="00717F63"/>
    <w:rsid w:val="007200AE"/>
    <w:rsid w:val="007234F4"/>
    <w:rsid w:val="007246FD"/>
    <w:rsid w:val="00725323"/>
    <w:rsid w:val="00732078"/>
    <w:rsid w:val="007333EF"/>
    <w:rsid w:val="00733B83"/>
    <w:rsid w:val="007348A8"/>
    <w:rsid w:val="00734B15"/>
    <w:rsid w:val="007449E8"/>
    <w:rsid w:val="00751883"/>
    <w:rsid w:val="00754ED5"/>
    <w:rsid w:val="00793377"/>
    <w:rsid w:val="007A09C0"/>
    <w:rsid w:val="007A1935"/>
    <w:rsid w:val="007B1294"/>
    <w:rsid w:val="007B4E4D"/>
    <w:rsid w:val="007C2913"/>
    <w:rsid w:val="007C6EE9"/>
    <w:rsid w:val="007C7DB0"/>
    <w:rsid w:val="007D0822"/>
    <w:rsid w:val="007D3391"/>
    <w:rsid w:val="007D37BD"/>
    <w:rsid w:val="007E6225"/>
    <w:rsid w:val="007E748C"/>
    <w:rsid w:val="007F3947"/>
    <w:rsid w:val="00805906"/>
    <w:rsid w:val="00813E51"/>
    <w:rsid w:val="00817200"/>
    <w:rsid w:val="0081788C"/>
    <w:rsid w:val="00821643"/>
    <w:rsid w:val="008227E9"/>
    <w:rsid w:val="00823C8D"/>
    <w:rsid w:val="00826CD6"/>
    <w:rsid w:val="008431FB"/>
    <w:rsid w:val="00854B3F"/>
    <w:rsid w:val="008619F6"/>
    <w:rsid w:val="008741B5"/>
    <w:rsid w:val="0087716F"/>
    <w:rsid w:val="00891EAC"/>
    <w:rsid w:val="008934AD"/>
    <w:rsid w:val="0089410F"/>
    <w:rsid w:val="008977B6"/>
    <w:rsid w:val="00897869"/>
    <w:rsid w:val="008B5752"/>
    <w:rsid w:val="008C372B"/>
    <w:rsid w:val="008C4294"/>
    <w:rsid w:val="008E0CAF"/>
    <w:rsid w:val="008E6809"/>
    <w:rsid w:val="008E7317"/>
    <w:rsid w:val="008E7386"/>
    <w:rsid w:val="008F4B51"/>
    <w:rsid w:val="008F5A15"/>
    <w:rsid w:val="00904E30"/>
    <w:rsid w:val="009060C2"/>
    <w:rsid w:val="00913454"/>
    <w:rsid w:val="00913F6B"/>
    <w:rsid w:val="00935CF6"/>
    <w:rsid w:val="00937917"/>
    <w:rsid w:val="009430A2"/>
    <w:rsid w:val="00951C0F"/>
    <w:rsid w:val="00951FEE"/>
    <w:rsid w:val="00954C7D"/>
    <w:rsid w:val="00966178"/>
    <w:rsid w:val="00966F7F"/>
    <w:rsid w:val="009839B6"/>
    <w:rsid w:val="00983A6A"/>
    <w:rsid w:val="00983DB6"/>
    <w:rsid w:val="00987C65"/>
    <w:rsid w:val="00996A70"/>
    <w:rsid w:val="00996BBB"/>
    <w:rsid w:val="009A0D95"/>
    <w:rsid w:val="009A5F53"/>
    <w:rsid w:val="009A7A5E"/>
    <w:rsid w:val="009B0DAF"/>
    <w:rsid w:val="009B5996"/>
    <w:rsid w:val="009C05E0"/>
    <w:rsid w:val="009D5F76"/>
    <w:rsid w:val="009E5DAF"/>
    <w:rsid w:val="009E7B32"/>
    <w:rsid w:val="00A10976"/>
    <w:rsid w:val="00A1326E"/>
    <w:rsid w:val="00A14176"/>
    <w:rsid w:val="00A222E3"/>
    <w:rsid w:val="00A23712"/>
    <w:rsid w:val="00A23A8C"/>
    <w:rsid w:val="00A3397D"/>
    <w:rsid w:val="00A364AB"/>
    <w:rsid w:val="00A411D9"/>
    <w:rsid w:val="00A57AC2"/>
    <w:rsid w:val="00A61B80"/>
    <w:rsid w:val="00A711D1"/>
    <w:rsid w:val="00A760B8"/>
    <w:rsid w:val="00A765C7"/>
    <w:rsid w:val="00A925D3"/>
    <w:rsid w:val="00A94261"/>
    <w:rsid w:val="00AA602E"/>
    <w:rsid w:val="00AB26D6"/>
    <w:rsid w:val="00AB669E"/>
    <w:rsid w:val="00AD5220"/>
    <w:rsid w:val="00AD5554"/>
    <w:rsid w:val="00AE462C"/>
    <w:rsid w:val="00AF0EC0"/>
    <w:rsid w:val="00AF32B5"/>
    <w:rsid w:val="00AF39A2"/>
    <w:rsid w:val="00AF57B7"/>
    <w:rsid w:val="00AF69BB"/>
    <w:rsid w:val="00AF7ACC"/>
    <w:rsid w:val="00B03138"/>
    <w:rsid w:val="00B22942"/>
    <w:rsid w:val="00B355AA"/>
    <w:rsid w:val="00B67B37"/>
    <w:rsid w:val="00B829AA"/>
    <w:rsid w:val="00B9365B"/>
    <w:rsid w:val="00BA0AC3"/>
    <w:rsid w:val="00BA5FFB"/>
    <w:rsid w:val="00BA72D1"/>
    <w:rsid w:val="00BC4CE7"/>
    <w:rsid w:val="00BD06E9"/>
    <w:rsid w:val="00BD1E89"/>
    <w:rsid w:val="00BD4FCF"/>
    <w:rsid w:val="00BD6B55"/>
    <w:rsid w:val="00BE2F90"/>
    <w:rsid w:val="00BF3102"/>
    <w:rsid w:val="00C12ED0"/>
    <w:rsid w:val="00C13099"/>
    <w:rsid w:val="00C13128"/>
    <w:rsid w:val="00C1394E"/>
    <w:rsid w:val="00C215B2"/>
    <w:rsid w:val="00C24BC9"/>
    <w:rsid w:val="00C340AE"/>
    <w:rsid w:val="00C44CAB"/>
    <w:rsid w:val="00C46B77"/>
    <w:rsid w:val="00C46C4E"/>
    <w:rsid w:val="00C62DF9"/>
    <w:rsid w:val="00C67409"/>
    <w:rsid w:val="00C81EE7"/>
    <w:rsid w:val="00C83C4F"/>
    <w:rsid w:val="00C84D2B"/>
    <w:rsid w:val="00C91471"/>
    <w:rsid w:val="00C96B44"/>
    <w:rsid w:val="00CA144F"/>
    <w:rsid w:val="00CA7421"/>
    <w:rsid w:val="00CB086E"/>
    <w:rsid w:val="00CB6B97"/>
    <w:rsid w:val="00CC36DA"/>
    <w:rsid w:val="00CD40AB"/>
    <w:rsid w:val="00CE1722"/>
    <w:rsid w:val="00CE3A03"/>
    <w:rsid w:val="00CE3ECD"/>
    <w:rsid w:val="00CE5983"/>
    <w:rsid w:val="00CF5D91"/>
    <w:rsid w:val="00CF7E16"/>
    <w:rsid w:val="00D00AC9"/>
    <w:rsid w:val="00D03EFF"/>
    <w:rsid w:val="00D04056"/>
    <w:rsid w:val="00D158FC"/>
    <w:rsid w:val="00D210E0"/>
    <w:rsid w:val="00D22716"/>
    <w:rsid w:val="00D368E8"/>
    <w:rsid w:val="00D40848"/>
    <w:rsid w:val="00D40FF3"/>
    <w:rsid w:val="00D41DA0"/>
    <w:rsid w:val="00D4554D"/>
    <w:rsid w:val="00D6403C"/>
    <w:rsid w:val="00D667A9"/>
    <w:rsid w:val="00D84E9E"/>
    <w:rsid w:val="00D90D0F"/>
    <w:rsid w:val="00D91D99"/>
    <w:rsid w:val="00DD1949"/>
    <w:rsid w:val="00DE1CE7"/>
    <w:rsid w:val="00DF021D"/>
    <w:rsid w:val="00DF2CA1"/>
    <w:rsid w:val="00E149C3"/>
    <w:rsid w:val="00E214D4"/>
    <w:rsid w:val="00E31357"/>
    <w:rsid w:val="00E37CC6"/>
    <w:rsid w:val="00E40D6D"/>
    <w:rsid w:val="00E51FF1"/>
    <w:rsid w:val="00E557F5"/>
    <w:rsid w:val="00E64850"/>
    <w:rsid w:val="00E75123"/>
    <w:rsid w:val="00E822D5"/>
    <w:rsid w:val="00EA1129"/>
    <w:rsid w:val="00EA5363"/>
    <w:rsid w:val="00EA5D6B"/>
    <w:rsid w:val="00EB3114"/>
    <w:rsid w:val="00EB551E"/>
    <w:rsid w:val="00EC12EF"/>
    <w:rsid w:val="00EC4BE3"/>
    <w:rsid w:val="00EC57DC"/>
    <w:rsid w:val="00ED5D56"/>
    <w:rsid w:val="00EE02E4"/>
    <w:rsid w:val="00F056E9"/>
    <w:rsid w:val="00F16351"/>
    <w:rsid w:val="00F40693"/>
    <w:rsid w:val="00F6497D"/>
    <w:rsid w:val="00F64FB6"/>
    <w:rsid w:val="00F672E7"/>
    <w:rsid w:val="00F719C0"/>
    <w:rsid w:val="00F74DFC"/>
    <w:rsid w:val="00F848CB"/>
    <w:rsid w:val="00F93834"/>
    <w:rsid w:val="00FA0673"/>
    <w:rsid w:val="00FD2953"/>
    <w:rsid w:val="00FD2AAA"/>
    <w:rsid w:val="00FD3E36"/>
    <w:rsid w:val="00FD5940"/>
    <w:rsid w:val="00FE3C37"/>
    <w:rsid w:val="00FE647B"/>
    <w:rsid w:val="00FF6BD6"/>
    <w:rsid w:val="010A41B4"/>
    <w:rsid w:val="010A62F5"/>
    <w:rsid w:val="011C4FD6"/>
    <w:rsid w:val="012359E3"/>
    <w:rsid w:val="012A6BDB"/>
    <w:rsid w:val="01373F65"/>
    <w:rsid w:val="013B20C5"/>
    <w:rsid w:val="013B57C8"/>
    <w:rsid w:val="01456ACF"/>
    <w:rsid w:val="015E6471"/>
    <w:rsid w:val="01604C89"/>
    <w:rsid w:val="017B707A"/>
    <w:rsid w:val="017F0C28"/>
    <w:rsid w:val="01815B04"/>
    <w:rsid w:val="0190275B"/>
    <w:rsid w:val="01942625"/>
    <w:rsid w:val="01A74486"/>
    <w:rsid w:val="01BD7A4F"/>
    <w:rsid w:val="01BF07E9"/>
    <w:rsid w:val="01EA6E6D"/>
    <w:rsid w:val="01EC7898"/>
    <w:rsid w:val="01F02992"/>
    <w:rsid w:val="01F24136"/>
    <w:rsid w:val="021043CC"/>
    <w:rsid w:val="02154C6B"/>
    <w:rsid w:val="02244A3B"/>
    <w:rsid w:val="0232197C"/>
    <w:rsid w:val="02473F0D"/>
    <w:rsid w:val="02544B31"/>
    <w:rsid w:val="025B2DC4"/>
    <w:rsid w:val="025D4F22"/>
    <w:rsid w:val="0273481D"/>
    <w:rsid w:val="02760A5F"/>
    <w:rsid w:val="0276446A"/>
    <w:rsid w:val="027B5DA6"/>
    <w:rsid w:val="029105D0"/>
    <w:rsid w:val="029626D1"/>
    <w:rsid w:val="02B20C9A"/>
    <w:rsid w:val="02B76D6F"/>
    <w:rsid w:val="02CE1B85"/>
    <w:rsid w:val="02DA22C9"/>
    <w:rsid w:val="02EB070E"/>
    <w:rsid w:val="02F47D05"/>
    <w:rsid w:val="02FA082F"/>
    <w:rsid w:val="03120B70"/>
    <w:rsid w:val="031F0E2B"/>
    <w:rsid w:val="032E44C7"/>
    <w:rsid w:val="03622363"/>
    <w:rsid w:val="03644243"/>
    <w:rsid w:val="038434C9"/>
    <w:rsid w:val="039A4AFB"/>
    <w:rsid w:val="03C50289"/>
    <w:rsid w:val="03CC3FA5"/>
    <w:rsid w:val="03D8544B"/>
    <w:rsid w:val="03E24F0D"/>
    <w:rsid w:val="03E70DB3"/>
    <w:rsid w:val="03F37EA5"/>
    <w:rsid w:val="03F941A8"/>
    <w:rsid w:val="03FA3274"/>
    <w:rsid w:val="03FE1482"/>
    <w:rsid w:val="03FF2FBF"/>
    <w:rsid w:val="040030CF"/>
    <w:rsid w:val="040B2CF6"/>
    <w:rsid w:val="042E0A14"/>
    <w:rsid w:val="043D18BC"/>
    <w:rsid w:val="044B57EF"/>
    <w:rsid w:val="044C0703"/>
    <w:rsid w:val="046735F8"/>
    <w:rsid w:val="04682A17"/>
    <w:rsid w:val="046F77FB"/>
    <w:rsid w:val="047B4C8E"/>
    <w:rsid w:val="047F019F"/>
    <w:rsid w:val="047F0B0C"/>
    <w:rsid w:val="047F3631"/>
    <w:rsid w:val="049E2FB6"/>
    <w:rsid w:val="04AF4801"/>
    <w:rsid w:val="04B8779B"/>
    <w:rsid w:val="04BC0FEC"/>
    <w:rsid w:val="04C404B5"/>
    <w:rsid w:val="04CD069D"/>
    <w:rsid w:val="04D13C82"/>
    <w:rsid w:val="04EA2B3F"/>
    <w:rsid w:val="04EF59D1"/>
    <w:rsid w:val="050C0C8F"/>
    <w:rsid w:val="050D67D9"/>
    <w:rsid w:val="050E236F"/>
    <w:rsid w:val="05145FDB"/>
    <w:rsid w:val="051C00DD"/>
    <w:rsid w:val="052A6738"/>
    <w:rsid w:val="05490568"/>
    <w:rsid w:val="0556567A"/>
    <w:rsid w:val="05670BDC"/>
    <w:rsid w:val="056944A2"/>
    <w:rsid w:val="056B402B"/>
    <w:rsid w:val="056D5A4B"/>
    <w:rsid w:val="05766F51"/>
    <w:rsid w:val="05AA3794"/>
    <w:rsid w:val="05B51F34"/>
    <w:rsid w:val="05B63ADC"/>
    <w:rsid w:val="05B969B3"/>
    <w:rsid w:val="05BF32E3"/>
    <w:rsid w:val="05C501A9"/>
    <w:rsid w:val="05C55124"/>
    <w:rsid w:val="05C62704"/>
    <w:rsid w:val="05DB2C00"/>
    <w:rsid w:val="05DC0A20"/>
    <w:rsid w:val="05FA24A8"/>
    <w:rsid w:val="060B57E8"/>
    <w:rsid w:val="060D1658"/>
    <w:rsid w:val="061522D0"/>
    <w:rsid w:val="06195A58"/>
    <w:rsid w:val="061E1135"/>
    <w:rsid w:val="06253FFB"/>
    <w:rsid w:val="06294CB0"/>
    <w:rsid w:val="062E77CC"/>
    <w:rsid w:val="062F3622"/>
    <w:rsid w:val="06321829"/>
    <w:rsid w:val="064D4F0C"/>
    <w:rsid w:val="06505B4F"/>
    <w:rsid w:val="065C6CFD"/>
    <w:rsid w:val="06610220"/>
    <w:rsid w:val="06613BC7"/>
    <w:rsid w:val="066652C1"/>
    <w:rsid w:val="066661FB"/>
    <w:rsid w:val="06682785"/>
    <w:rsid w:val="067609CA"/>
    <w:rsid w:val="06813F20"/>
    <w:rsid w:val="069468A4"/>
    <w:rsid w:val="069B4133"/>
    <w:rsid w:val="06B85CB1"/>
    <w:rsid w:val="06C2041E"/>
    <w:rsid w:val="06C373FB"/>
    <w:rsid w:val="06C41534"/>
    <w:rsid w:val="06C901C6"/>
    <w:rsid w:val="06CF2587"/>
    <w:rsid w:val="06D624A9"/>
    <w:rsid w:val="06E213BE"/>
    <w:rsid w:val="06E75DDC"/>
    <w:rsid w:val="06E874A0"/>
    <w:rsid w:val="06F75A98"/>
    <w:rsid w:val="06F77C5C"/>
    <w:rsid w:val="06F84A18"/>
    <w:rsid w:val="06F91994"/>
    <w:rsid w:val="07053883"/>
    <w:rsid w:val="070857B2"/>
    <w:rsid w:val="07275FD5"/>
    <w:rsid w:val="074A7BF6"/>
    <w:rsid w:val="076E3C75"/>
    <w:rsid w:val="077C2F3E"/>
    <w:rsid w:val="077E3528"/>
    <w:rsid w:val="077E757F"/>
    <w:rsid w:val="078564E6"/>
    <w:rsid w:val="07907A7C"/>
    <w:rsid w:val="0791212F"/>
    <w:rsid w:val="07914CA8"/>
    <w:rsid w:val="07963FC8"/>
    <w:rsid w:val="07987194"/>
    <w:rsid w:val="079C558D"/>
    <w:rsid w:val="07A1260A"/>
    <w:rsid w:val="07A5753F"/>
    <w:rsid w:val="07A7570B"/>
    <w:rsid w:val="07A86BC0"/>
    <w:rsid w:val="07B375B1"/>
    <w:rsid w:val="07BD7389"/>
    <w:rsid w:val="07C93DFF"/>
    <w:rsid w:val="07CC6C08"/>
    <w:rsid w:val="07CF39A8"/>
    <w:rsid w:val="07DA371D"/>
    <w:rsid w:val="07E33854"/>
    <w:rsid w:val="07F34EFC"/>
    <w:rsid w:val="07F37DB7"/>
    <w:rsid w:val="07F74555"/>
    <w:rsid w:val="081662E1"/>
    <w:rsid w:val="081D7650"/>
    <w:rsid w:val="082240C2"/>
    <w:rsid w:val="0834758E"/>
    <w:rsid w:val="08564D7A"/>
    <w:rsid w:val="086075AB"/>
    <w:rsid w:val="08716E9D"/>
    <w:rsid w:val="08760957"/>
    <w:rsid w:val="08831FE4"/>
    <w:rsid w:val="088F6915"/>
    <w:rsid w:val="089305EA"/>
    <w:rsid w:val="08947CF3"/>
    <w:rsid w:val="08A3442D"/>
    <w:rsid w:val="08A41151"/>
    <w:rsid w:val="08D200D2"/>
    <w:rsid w:val="08D25283"/>
    <w:rsid w:val="08E314A2"/>
    <w:rsid w:val="08E63620"/>
    <w:rsid w:val="08EC2CB0"/>
    <w:rsid w:val="08F16FBA"/>
    <w:rsid w:val="08F37A02"/>
    <w:rsid w:val="08FE51A1"/>
    <w:rsid w:val="0909178E"/>
    <w:rsid w:val="09256C4A"/>
    <w:rsid w:val="09277427"/>
    <w:rsid w:val="09366956"/>
    <w:rsid w:val="09394134"/>
    <w:rsid w:val="09394DFF"/>
    <w:rsid w:val="094D79CF"/>
    <w:rsid w:val="094E512E"/>
    <w:rsid w:val="096E224D"/>
    <w:rsid w:val="0972320A"/>
    <w:rsid w:val="09832A07"/>
    <w:rsid w:val="098C0F2F"/>
    <w:rsid w:val="09B55A7D"/>
    <w:rsid w:val="09BC2E4F"/>
    <w:rsid w:val="09CC0691"/>
    <w:rsid w:val="09CD2EA4"/>
    <w:rsid w:val="09DF22A7"/>
    <w:rsid w:val="0A0A08D4"/>
    <w:rsid w:val="0A0A56B9"/>
    <w:rsid w:val="0A0F55BD"/>
    <w:rsid w:val="0A115D4C"/>
    <w:rsid w:val="0A120A90"/>
    <w:rsid w:val="0A150ACE"/>
    <w:rsid w:val="0A22052E"/>
    <w:rsid w:val="0A263447"/>
    <w:rsid w:val="0A2978C1"/>
    <w:rsid w:val="0A2A79DC"/>
    <w:rsid w:val="0A3775C3"/>
    <w:rsid w:val="0A427DD4"/>
    <w:rsid w:val="0A4757E5"/>
    <w:rsid w:val="0A481E6C"/>
    <w:rsid w:val="0A4B08DB"/>
    <w:rsid w:val="0A4B6101"/>
    <w:rsid w:val="0A593AED"/>
    <w:rsid w:val="0A6413E8"/>
    <w:rsid w:val="0A70503F"/>
    <w:rsid w:val="0A8F0586"/>
    <w:rsid w:val="0AA3646B"/>
    <w:rsid w:val="0AA67CB9"/>
    <w:rsid w:val="0AAC5B9D"/>
    <w:rsid w:val="0ACE1B7A"/>
    <w:rsid w:val="0AD83203"/>
    <w:rsid w:val="0ADD0FD7"/>
    <w:rsid w:val="0AEE4718"/>
    <w:rsid w:val="0AEF6257"/>
    <w:rsid w:val="0AF7350B"/>
    <w:rsid w:val="0B0A1E4D"/>
    <w:rsid w:val="0B0C442B"/>
    <w:rsid w:val="0B0C7CBE"/>
    <w:rsid w:val="0B172C94"/>
    <w:rsid w:val="0B183238"/>
    <w:rsid w:val="0B1C65EC"/>
    <w:rsid w:val="0B1F62F5"/>
    <w:rsid w:val="0B2A0E40"/>
    <w:rsid w:val="0B320737"/>
    <w:rsid w:val="0B3F2834"/>
    <w:rsid w:val="0B472C45"/>
    <w:rsid w:val="0B4A5AC9"/>
    <w:rsid w:val="0B4B7DDB"/>
    <w:rsid w:val="0B553400"/>
    <w:rsid w:val="0B602BA6"/>
    <w:rsid w:val="0B671DE2"/>
    <w:rsid w:val="0B71069A"/>
    <w:rsid w:val="0B724F34"/>
    <w:rsid w:val="0B7B039F"/>
    <w:rsid w:val="0B8A524B"/>
    <w:rsid w:val="0B8A7866"/>
    <w:rsid w:val="0BB93731"/>
    <w:rsid w:val="0BBB0906"/>
    <w:rsid w:val="0BBE4CFF"/>
    <w:rsid w:val="0BC07081"/>
    <w:rsid w:val="0BC8754C"/>
    <w:rsid w:val="0BD0267A"/>
    <w:rsid w:val="0BD13387"/>
    <w:rsid w:val="0BD437D5"/>
    <w:rsid w:val="0BEF70DB"/>
    <w:rsid w:val="0C0259D6"/>
    <w:rsid w:val="0C086302"/>
    <w:rsid w:val="0C14604F"/>
    <w:rsid w:val="0C14781D"/>
    <w:rsid w:val="0C2273F1"/>
    <w:rsid w:val="0C2C42C9"/>
    <w:rsid w:val="0C2F759E"/>
    <w:rsid w:val="0C345EE6"/>
    <w:rsid w:val="0C363C81"/>
    <w:rsid w:val="0C376A52"/>
    <w:rsid w:val="0C3F78BD"/>
    <w:rsid w:val="0C55263E"/>
    <w:rsid w:val="0C5C7CC1"/>
    <w:rsid w:val="0C6236CC"/>
    <w:rsid w:val="0C666A81"/>
    <w:rsid w:val="0C7A644B"/>
    <w:rsid w:val="0C804F56"/>
    <w:rsid w:val="0C877047"/>
    <w:rsid w:val="0C91279F"/>
    <w:rsid w:val="0C934C9B"/>
    <w:rsid w:val="0CA70EFB"/>
    <w:rsid w:val="0CA76FA4"/>
    <w:rsid w:val="0CAE385B"/>
    <w:rsid w:val="0CC75492"/>
    <w:rsid w:val="0CC87B56"/>
    <w:rsid w:val="0CE05B5E"/>
    <w:rsid w:val="0CE559BF"/>
    <w:rsid w:val="0CE70445"/>
    <w:rsid w:val="0CF8553A"/>
    <w:rsid w:val="0D01122B"/>
    <w:rsid w:val="0D0C188A"/>
    <w:rsid w:val="0D0F5438"/>
    <w:rsid w:val="0D296DE3"/>
    <w:rsid w:val="0D29725D"/>
    <w:rsid w:val="0D386CEC"/>
    <w:rsid w:val="0D4044EA"/>
    <w:rsid w:val="0D504F8D"/>
    <w:rsid w:val="0D5E76E7"/>
    <w:rsid w:val="0D611B52"/>
    <w:rsid w:val="0D6E2248"/>
    <w:rsid w:val="0D8717FD"/>
    <w:rsid w:val="0D881FBD"/>
    <w:rsid w:val="0D8E4412"/>
    <w:rsid w:val="0D9C5D6F"/>
    <w:rsid w:val="0DAF6E65"/>
    <w:rsid w:val="0DB31912"/>
    <w:rsid w:val="0DBA74FE"/>
    <w:rsid w:val="0DBD4CB1"/>
    <w:rsid w:val="0DD82466"/>
    <w:rsid w:val="0DDA128B"/>
    <w:rsid w:val="0DEB4616"/>
    <w:rsid w:val="0DF04A68"/>
    <w:rsid w:val="0DF72FBD"/>
    <w:rsid w:val="0DF937EC"/>
    <w:rsid w:val="0E046C74"/>
    <w:rsid w:val="0E297CB4"/>
    <w:rsid w:val="0E3746E5"/>
    <w:rsid w:val="0E4814D4"/>
    <w:rsid w:val="0E5E7423"/>
    <w:rsid w:val="0E820056"/>
    <w:rsid w:val="0E821E91"/>
    <w:rsid w:val="0E8D4754"/>
    <w:rsid w:val="0EA031ED"/>
    <w:rsid w:val="0EA3277B"/>
    <w:rsid w:val="0EA63D16"/>
    <w:rsid w:val="0EA82E8B"/>
    <w:rsid w:val="0EAF2AA1"/>
    <w:rsid w:val="0EBA3B6D"/>
    <w:rsid w:val="0EC0305B"/>
    <w:rsid w:val="0EC93824"/>
    <w:rsid w:val="0EC940EA"/>
    <w:rsid w:val="0ECD1BF9"/>
    <w:rsid w:val="0EE303C9"/>
    <w:rsid w:val="0EEF03F1"/>
    <w:rsid w:val="0EEF1AF7"/>
    <w:rsid w:val="0EF5771B"/>
    <w:rsid w:val="0F0610C7"/>
    <w:rsid w:val="0F0F5004"/>
    <w:rsid w:val="0F150A42"/>
    <w:rsid w:val="0F274E5E"/>
    <w:rsid w:val="0F291F9D"/>
    <w:rsid w:val="0F2C3286"/>
    <w:rsid w:val="0F322F5B"/>
    <w:rsid w:val="0F3C1252"/>
    <w:rsid w:val="0F532FCC"/>
    <w:rsid w:val="0F5849DF"/>
    <w:rsid w:val="0F5F6EDC"/>
    <w:rsid w:val="0F651EF5"/>
    <w:rsid w:val="0F86619D"/>
    <w:rsid w:val="0F8C5296"/>
    <w:rsid w:val="0F961CCE"/>
    <w:rsid w:val="0F97082B"/>
    <w:rsid w:val="0F9F45DB"/>
    <w:rsid w:val="0FA32E66"/>
    <w:rsid w:val="0FA738E2"/>
    <w:rsid w:val="0FA73BCD"/>
    <w:rsid w:val="0FB354FC"/>
    <w:rsid w:val="0FB82BBC"/>
    <w:rsid w:val="0FBE54C5"/>
    <w:rsid w:val="0FBF39ED"/>
    <w:rsid w:val="0FC3693C"/>
    <w:rsid w:val="0FC864B4"/>
    <w:rsid w:val="0FD96A03"/>
    <w:rsid w:val="0FE7260A"/>
    <w:rsid w:val="0FEF1BB8"/>
    <w:rsid w:val="10034DC1"/>
    <w:rsid w:val="10107606"/>
    <w:rsid w:val="101A2510"/>
    <w:rsid w:val="103A5D24"/>
    <w:rsid w:val="10467E0F"/>
    <w:rsid w:val="105109E4"/>
    <w:rsid w:val="105A065E"/>
    <w:rsid w:val="105C6A52"/>
    <w:rsid w:val="1065133F"/>
    <w:rsid w:val="10682D61"/>
    <w:rsid w:val="106854F4"/>
    <w:rsid w:val="106949B6"/>
    <w:rsid w:val="10872274"/>
    <w:rsid w:val="108B4D1B"/>
    <w:rsid w:val="108C3290"/>
    <w:rsid w:val="109A6E42"/>
    <w:rsid w:val="109C225C"/>
    <w:rsid w:val="10AF7D2A"/>
    <w:rsid w:val="10B17381"/>
    <w:rsid w:val="10BE2475"/>
    <w:rsid w:val="10D54286"/>
    <w:rsid w:val="10E70EEA"/>
    <w:rsid w:val="10F72C0A"/>
    <w:rsid w:val="10F75982"/>
    <w:rsid w:val="11034887"/>
    <w:rsid w:val="110E79F6"/>
    <w:rsid w:val="112144A5"/>
    <w:rsid w:val="11256A5D"/>
    <w:rsid w:val="112F2BFA"/>
    <w:rsid w:val="1140032C"/>
    <w:rsid w:val="11465790"/>
    <w:rsid w:val="1148711D"/>
    <w:rsid w:val="114A472F"/>
    <w:rsid w:val="114C4A69"/>
    <w:rsid w:val="11686CB0"/>
    <w:rsid w:val="11691BD8"/>
    <w:rsid w:val="11707C46"/>
    <w:rsid w:val="11840CC9"/>
    <w:rsid w:val="11916802"/>
    <w:rsid w:val="11A8752B"/>
    <w:rsid w:val="11AA69C6"/>
    <w:rsid w:val="11AF064D"/>
    <w:rsid w:val="11B75427"/>
    <w:rsid w:val="11C34669"/>
    <w:rsid w:val="11C80FB9"/>
    <w:rsid w:val="11CC4559"/>
    <w:rsid w:val="11CD7198"/>
    <w:rsid w:val="11E14C17"/>
    <w:rsid w:val="11E206A3"/>
    <w:rsid w:val="11F567B8"/>
    <w:rsid w:val="11FB2E27"/>
    <w:rsid w:val="120002D4"/>
    <w:rsid w:val="120B3D07"/>
    <w:rsid w:val="120E4F34"/>
    <w:rsid w:val="1225075E"/>
    <w:rsid w:val="123478B9"/>
    <w:rsid w:val="12365014"/>
    <w:rsid w:val="124850F7"/>
    <w:rsid w:val="124D47B3"/>
    <w:rsid w:val="124F0F9F"/>
    <w:rsid w:val="125E4D1C"/>
    <w:rsid w:val="12620973"/>
    <w:rsid w:val="12630024"/>
    <w:rsid w:val="12641A7A"/>
    <w:rsid w:val="126819FE"/>
    <w:rsid w:val="126E6705"/>
    <w:rsid w:val="1271575D"/>
    <w:rsid w:val="12826489"/>
    <w:rsid w:val="1289767B"/>
    <w:rsid w:val="129F60B5"/>
    <w:rsid w:val="12A74B49"/>
    <w:rsid w:val="12AE298A"/>
    <w:rsid w:val="12C06B14"/>
    <w:rsid w:val="12CD1380"/>
    <w:rsid w:val="12D96B0C"/>
    <w:rsid w:val="12E17784"/>
    <w:rsid w:val="12F809D3"/>
    <w:rsid w:val="12FE2782"/>
    <w:rsid w:val="13051AF0"/>
    <w:rsid w:val="130B524C"/>
    <w:rsid w:val="1310261B"/>
    <w:rsid w:val="13272F7A"/>
    <w:rsid w:val="13356C83"/>
    <w:rsid w:val="13510D35"/>
    <w:rsid w:val="135D3812"/>
    <w:rsid w:val="135F1508"/>
    <w:rsid w:val="13666D9F"/>
    <w:rsid w:val="1372198F"/>
    <w:rsid w:val="13737182"/>
    <w:rsid w:val="13883D82"/>
    <w:rsid w:val="138D4D76"/>
    <w:rsid w:val="13A61647"/>
    <w:rsid w:val="13AD0EAD"/>
    <w:rsid w:val="13BE0279"/>
    <w:rsid w:val="13C407C9"/>
    <w:rsid w:val="13C4099B"/>
    <w:rsid w:val="13D03886"/>
    <w:rsid w:val="13DF2212"/>
    <w:rsid w:val="13E35100"/>
    <w:rsid w:val="13E558A2"/>
    <w:rsid w:val="13F96773"/>
    <w:rsid w:val="13FC365D"/>
    <w:rsid w:val="14025AF6"/>
    <w:rsid w:val="140D0901"/>
    <w:rsid w:val="141C0DCF"/>
    <w:rsid w:val="14214A15"/>
    <w:rsid w:val="142467C0"/>
    <w:rsid w:val="144548A9"/>
    <w:rsid w:val="145062BE"/>
    <w:rsid w:val="145406BB"/>
    <w:rsid w:val="14543A5E"/>
    <w:rsid w:val="14584F97"/>
    <w:rsid w:val="14693BA6"/>
    <w:rsid w:val="146C66CF"/>
    <w:rsid w:val="14814826"/>
    <w:rsid w:val="148A06AB"/>
    <w:rsid w:val="148E3DCA"/>
    <w:rsid w:val="14985C4C"/>
    <w:rsid w:val="149941A7"/>
    <w:rsid w:val="14A443BC"/>
    <w:rsid w:val="14AA2EBA"/>
    <w:rsid w:val="14C6405B"/>
    <w:rsid w:val="150712A2"/>
    <w:rsid w:val="150B55AF"/>
    <w:rsid w:val="15127546"/>
    <w:rsid w:val="15237771"/>
    <w:rsid w:val="15375CB9"/>
    <w:rsid w:val="154C266A"/>
    <w:rsid w:val="154F16D2"/>
    <w:rsid w:val="15585CD3"/>
    <w:rsid w:val="156053D9"/>
    <w:rsid w:val="156216BA"/>
    <w:rsid w:val="15682E2B"/>
    <w:rsid w:val="15716CC5"/>
    <w:rsid w:val="15747FCD"/>
    <w:rsid w:val="157F77E5"/>
    <w:rsid w:val="15810BB7"/>
    <w:rsid w:val="158F1BFB"/>
    <w:rsid w:val="15AE2033"/>
    <w:rsid w:val="15BD216B"/>
    <w:rsid w:val="15C138F3"/>
    <w:rsid w:val="15D33DE7"/>
    <w:rsid w:val="15D45D7C"/>
    <w:rsid w:val="15D73E0F"/>
    <w:rsid w:val="16092E0B"/>
    <w:rsid w:val="161E1E16"/>
    <w:rsid w:val="16293781"/>
    <w:rsid w:val="162968AC"/>
    <w:rsid w:val="162D5E38"/>
    <w:rsid w:val="16405EF7"/>
    <w:rsid w:val="164262C1"/>
    <w:rsid w:val="16437554"/>
    <w:rsid w:val="164C117E"/>
    <w:rsid w:val="164E61FB"/>
    <w:rsid w:val="164E7AFA"/>
    <w:rsid w:val="16617E54"/>
    <w:rsid w:val="16651CC9"/>
    <w:rsid w:val="167F5281"/>
    <w:rsid w:val="16A26B83"/>
    <w:rsid w:val="16B168CB"/>
    <w:rsid w:val="16B55648"/>
    <w:rsid w:val="16B73F4F"/>
    <w:rsid w:val="16C53D60"/>
    <w:rsid w:val="16CE1290"/>
    <w:rsid w:val="16D579C3"/>
    <w:rsid w:val="16D65B82"/>
    <w:rsid w:val="16E83D0F"/>
    <w:rsid w:val="16EC5272"/>
    <w:rsid w:val="16EE2F79"/>
    <w:rsid w:val="17083CF6"/>
    <w:rsid w:val="17122BA4"/>
    <w:rsid w:val="17147EFE"/>
    <w:rsid w:val="17170465"/>
    <w:rsid w:val="17173695"/>
    <w:rsid w:val="171E10AD"/>
    <w:rsid w:val="17213596"/>
    <w:rsid w:val="1723341E"/>
    <w:rsid w:val="17371BC8"/>
    <w:rsid w:val="173C2D6C"/>
    <w:rsid w:val="173C7946"/>
    <w:rsid w:val="173F122D"/>
    <w:rsid w:val="174F2CC4"/>
    <w:rsid w:val="175C4D41"/>
    <w:rsid w:val="17676070"/>
    <w:rsid w:val="177158CC"/>
    <w:rsid w:val="179B4973"/>
    <w:rsid w:val="17A62C54"/>
    <w:rsid w:val="17BE16DC"/>
    <w:rsid w:val="17C0574B"/>
    <w:rsid w:val="17C36FE9"/>
    <w:rsid w:val="17C86D05"/>
    <w:rsid w:val="17F35B20"/>
    <w:rsid w:val="180C2EE7"/>
    <w:rsid w:val="180F15B7"/>
    <w:rsid w:val="183E6574"/>
    <w:rsid w:val="185F1F32"/>
    <w:rsid w:val="18653EFB"/>
    <w:rsid w:val="18720945"/>
    <w:rsid w:val="18726510"/>
    <w:rsid w:val="18881CB4"/>
    <w:rsid w:val="188E3C2D"/>
    <w:rsid w:val="1891577F"/>
    <w:rsid w:val="189A445D"/>
    <w:rsid w:val="189C63DB"/>
    <w:rsid w:val="18A23164"/>
    <w:rsid w:val="18A65CA4"/>
    <w:rsid w:val="18B057C0"/>
    <w:rsid w:val="18B61EEB"/>
    <w:rsid w:val="18BA1D7D"/>
    <w:rsid w:val="18C04D27"/>
    <w:rsid w:val="18C81E6B"/>
    <w:rsid w:val="18CF1610"/>
    <w:rsid w:val="18CF4AC4"/>
    <w:rsid w:val="18D54384"/>
    <w:rsid w:val="18E50310"/>
    <w:rsid w:val="18EC57E2"/>
    <w:rsid w:val="18F20AFB"/>
    <w:rsid w:val="18FD51E2"/>
    <w:rsid w:val="19047C5B"/>
    <w:rsid w:val="19102702"/>
    <w:rsid w:val="191B3081"/>
    <w:rsid w:val="192B246C"/>
    <w:rsid w:val="192D5062"/>
    <w:rsid w:val="193308D1"/>
    <w:rsid w:val="193364D7"/>
    <w:rsid w:val="19354D41"/>
    <w:rsid w:val="19383276"/>
    <w:rsid w:val="193D3C08"/>
    <w:rsid w:val="19465B85"/>
    <w:rsid w:val="19514FA7"/>
    <w:rsid w:val="19530509"/>
    <w:rsid w:val="19556FD1"/>
    <w:rsid w:val="19565B21"/>
    <w:rsid w:val="195B67D0"/>
    <w:rsid w:val="196E7061"/>
    <w:rsid w:val="19783399"/>
    <w:rsid w:val="197A5200"/>
    <w:rsid w:val="19832ED4"/>
    <w:rsid w:val="1986763E"/>
    <w:rsid w:val="198C493C"/>
    <w:rsid w:val="199302EE"/>
    <w:rsid w:val="19935CDA"/>
    <w:rsid w:val="199450E1"/>
    <w:rsid w:val="199E4C13"/>
    <w:rsid w:val="19C555F4"/>
    <w:rsid w:val="19CA10B0"/>
    <w:rsid w:val="19D479B1"/>
    <w:rsid w:val="19D871FC"/>
    <w:rsid w:val="19D90D82"/>
    <w:rsid w:val="19E44DA8"/>
    <w:rsid w:val="19EF0DA4"/>
    <w:rsid w:val="19F82CEA"/>
    <w:rsid w:val="19F83300"/>
    <w:rsid w:val="19FC45C1"/>
    <w:rsid w:val="1A013E26"/>
    <w:rsid w:val="1A01531B"/>
    <w:rsid w:val="1A0A4C6F"/>
    <w:rsid w:val="1A1324AA"/>
    <w:rsid w:val="1A146AFB"/>
    <w:rsid w:val="1A167A73"/>
    <w:rsid w:val="1A1B71D7"/>
    <w:rsid w:val="1A250038"/>
    <w:rsid w:val="1A2F0D7C"/>
    <w:rsid w:val="1A3F6C39"/>
    <w:rsid w:val="1A441B18"/>
    <w:rsid w:val="1A441F63"/>
    <w:rsid w:val="1A543B91"/>
    <w:rsid w:val="1A5617AE"/>
    <w:rsid w:val="1A5B314C"/>
    <w:rsid w:val="1A6125F2"/>
    <w:rsid w:val="1A63665D"/>
    <w:rsid w:val="1A8233A5"/>
    <w:rsid w:val="1A89066F"/>
    <w:rsid w:val="1A8D3E53"/>
    <w:rsid w:val="1A932C6F"/>
    <w:rsid w:val="1A9A78E6"/>
    <w:rsid w:val="1A9D03C0"/>
    <w:rsid w:val="1AA07998"/>
    <w:rsid w:val="1AA7739A"/>
    <w:rsid w:val="1AA915A7"/>
    <w:rsid w:val="1ABC3B6D"/>
    <w:rsid w:val="1AE75CC4"/>
    <w:rsid w:val="1AFB0020"/>
    <w:rsid w:val="1AFB749D"/>
    <w:rsid w:val="1B020733"/>
    <w:rsid w:val="1B151036"/>
    <w:rsid w:val="1B200468"/>
    <w:rsid w:val="1B351F7A"/>
    <w:rsid w:val="1B3863DF"/>
    <w:rsid w:val="1B4C0D69"/>
    <w:rsid w:val="1B5110B3"/>
    <w:rsid w:val="1B5B7458"/>
    <w:rsid w:val="1B5C3CD8"/>
    <w:rsid w:val="1B721452"/>
    <w:rsid w:val="1B730FBA"/>
    <w:rsid w:val="1B854CE1"/>
    <w:rsid w:val="1B861FC4"/>
    <w:rsid w:val="1B8A15CD"/>
    <w:rsid w:val="1B92166F"/>
    <w:rsid w:val="1BC23D87"/>
    <w:rsid w:val="1BC41E8D"/>
    <w:rsid w:val="1BD729CF"/>
    <w:rsid w:val="1BDC0F1D"/>
    <w:rsid w:val="1BE07C46"/>
    <w:rsid w:val="1BE465A3"/>
    <w:rsid w:val="1BE660DB"/>
    <w:rsid w:val="1BFA768D"/>
    <w:rsid w:val="1C122EBF"/>
    <w:rsid w:val="1C155D54"/>
    <w:rsid w:val="1C1B7408"/>
    <w:rsid w:val="1C1D5E4D"/>
    <w:rsid w:val="1C2B4F24"/>
    <w:rsid w:val="1C4728A5"/>
    <w:rsid w:val="1C4F703E"/>
    <w:rsid w:val="1C6F79AD"/>
    <w:rsid w:val="1C7C28FE"/>
    <w:rsid w:val="1C89674D"/>
    <w:rsid w:val="1C9E2CAC"/>
    <w:rsid w:val="1CA24B83"/>
    <w:rsid w:val="1CA25785"/>
    <w:rsid w:val="1CA975CF"/>
    <w:rsid w:val="1CB81B8B"/>
    <w:rsid w:val="1CBF1719"/>
    <w:rsid w:val="1CD50946"/>
    <w:rsid w:val="1CD53CB6"/>
    <w:rsid w:val="1CDA4ACD"/>
    <w:rsid w:val="1CEC1F81"/>
    <w:rsid w:val="1D1F5764"/>
    <w:rsid w:val="1D20603C"/>
    <w:rsid w:val="1D323E43"/>
    <w:rsid w:val="1D345826"/>
    <w:rsid w:val="1D6B03E8"/>
    <w:rsid w:val="1D6C7C52"/>
    <w:rsid w:val="1D7806E8"/>
    <w:rsid w:val="1D786AD1"/>
    <w:rsid w:val="1D7D03C5"/>
    <w:rsid w:val="1D8009CF"/>
    <w:rsid w:val="1D896015"/>
    <w:rsid w:val="1D9474D1"/>
    <w:rsid w:val="1DB765A6"/>
    <w:rsid w:val="1DC03242"/>
    <w:rsid w:val="1DCA7B9C"/>
    <w:rsid w:val="1DCE2818"/>
    <w:rsid w:val="1DD66728"/>
    <w:rsid w:val="1DDA37AA"/>
    <w:rsid w:val="1DDB45C2"/>
    <w:rsid w:val="1DE422F7"/>
    <w:rsid w:val="1DE71D9C"/>
    <w:rsid w:val="1E0C3054"/>
    <w:rsid w:val="1E113FF4"/>
    <w:rsid w:val="1E1E6C36"/>
    <w:rsid w:val="1E201AE4"/>
    <w:rsid w:val="1E27054B"/>
    <w:rsid w:val="1E3566EF"/>
    <w:rsid w:val="1E585851"/>
    <w:rsid w:val="1E614F5E"/>
    <w:rsid w:val="1E6A0646"/>
    <w:rsid w:val="1E755A64"/>
    <w:rsid w:val="1E7A2AF8"/>
    <w:rsid w:val="1E7F4C6A"/>
    <w:rsid w:val="1E890F8D"/>
    <w:rsid w:val="1E8A46AA"/>
    <w:rsid w:val="1E8B33E4"/>
    <w:rsid w:val="1E964B22"/>
    <w:rsid w:val="1E985748"/>
    <w:rsid w:val="1E9C38E5"/>
    <w:rsid w:val="1EA3650A"/>
    <w:rsid w:val="1EA81771"/>
    <w:rsid w:val="1EA9518B"/>
    <w:rsid w:val="1EAB55AA"/>
    <w:rsid w:val="1EB316AA"/>
    <w:rsid w:val="1ECD6798"/>
    <w:rsid w:val="1ED542CB"/>
    <w:rsid w:val="1EE2508D"/>
    <w:rsid w:val="1EFD2C1C"/>
    <w:rsid w:val="1F0105B5"/>
    <w:rsid w:val="1F074C09"/>
    <w:rsid w:val="1F1172AC"/>
    <w:rsid w:val="1F22514C"/>
    <w:rsid w:val="1F2A5406"/>
    <w:rsid w:val="1F32241A"/>
    <w:rsid w:val="1F3429E4"/>
    <w:rsid w:val="1F3C36BC"/>
    <w:rsid w:val="1F424860"/>
    <w:rsid w:val="1F4769C7"/>
    <w:rsid w:val="1F4E43E0"/>
    <w:rsid w:val="1F96022A"/>
    <w:rsid w:val="1F983C12"/>
    <w:rsid w:val="1FA6791C"/>
    <w:rsid w:val="1FA726C4"/>
    <w:rsid w:val="1FAF2BA0"/>
    <w:rsid w:val="1FD9140F"/>
    <w:rsid w:val="1FE21FDD"/>
    <w:rsid w:val="1FE673A2"/>
    <w:rsid w:val="1FEA66A3"/>
    <w:rsid w:val="1FEC65AF"/>
    <w:rsid w:val="20003F00"/>
    <w:rsid w:val="200D0260"/>
    <w:rsid w:val="200F6363"/>
    <w:rsid w:val="201B735F"/>
    <w:rsid w:val="201C2597"/>
    <w:rsid w:val="20287777"/>
    <w:rsid w:val="202C43A0"/>
    <w:rsid w:val="20362166"/>
    <w:rsid w:val="20487AEE"/>
    <w:rsid w:val="204A3E9F"/>
    <w:rsid w:val="20513A3C"/>
    <w:rsid w:val="205C29FA"/>
    <w:rsid w:val="205D2162"/>
    <w:rsid w:val="206E0C88"/>
    <w:rsid w:val="209A3718"/>
    <w:rsid w:val="209C5B5A"/>
    <w:rsid w:val="209E40FF"/>
    <w:rsid w:val="20C46B00"/>
    <w:rsid w:val="20C52A02"/>
    <w:rsid w:val="20D36237"/>
    <w:rsid w:val="20F81C87"/>
    <w:rsid w:val="20F97957"/>
    <w:rsid w:val="20FA58EE"/>
    <w:rsid w:val="2103015E"/>
    <w:rsid w:val="211D4B0E"/>
    <w:rsid w:val="213B4094"/>
    <w:rsid w:val="214D4E6C"/>
    <w:rsid w:val="215320F3"/>
    <w:rsid w:val="21627873"/>
    <w:rsid w:val="216C1BC5"/>
    <w:rsid w:val="21894090"/>
    <w:rsid w:val="219914E7"/>
    <w:rsid w:val="21A01E72"/>
    <w:rsid w:val="21A539A5"/>
    <w:rsid w:val="21BF6370"/>
    <w:rsid w:val="21C27D71"/>
    <w:rsid w:val="21CB5418"/>
    <w:rsid w:val="21D135A3"/>
    <w:rsid w:val="21D61CDB"/>
    <w:rsid w:val="21D70DF2"/>
    <w:rsid w:val="21DE51C9"/>
    <w:rsid w:val="21E8152C"/>
    <w:rsid w:val="21E84BC1"/>
    <w:rsid w:val="21ED1832"/>
    <w:rsid w:val="21F254C0"/>
    <w:rsid w:val="21F53216"/>
    <w:rsid w:val="21F629AE"/>
    <w:rsid w:val="221237FB"/>
    <w:rsid w:val="22157549"/>
    <w:rsid w:val="22384D9E"/>
    <w:rsid w:val="223961BB"/>
    <w:rsid w:val="223F55D0"/>
    <w:rsid w:val="22423423"/>
    <w:rsid w:val="224616BF"/>
    <w:rsid w:val="22463475"/>
    <w:rsid w:val="22464D78"/>
    <w:rsid w:val="2248360A"/>
    <w:rsid w:val="224A7372"/>
    <w:rsid w:val="224B72C0"/>
    <w:rsid w:val="224D3DE7"/>
    <w:rsid w:val="225853AF"/>
    <w:rsid w:val="2264171D"/>
    <w:rsid w:val="226A60D7"/>
    <w:rsid w:val="22801AB1"/>
    <w:rsid w:val="228147F9"/>
    <w:rsid w:val="22927225"/>
    <w:rsid w:val="22996AC6"/>
    <w:rsid w:val="22A9206B"/>
    <w:rsid w:val="22B6619A"/>
    <w:rsid w:val="22B75B50"/>
    <w:rsid w:val="22BD2D0D"/>
    <w:rsid w:val="22C32593"/>
    <w:rsid w:val="22C41308"/>
    <w:rsid w:val="22C7293A"/>
    <w:rsid w:val="22CC2A26"/>
    <w:rsid w:val="22CD3B55"/>
    <w:rsid w:val="22CD7181"/>
    <w:rsid w:val="22D00DD8"/>
    <w:rsid w:val="22D16758"/>
    <w:rsid w:val="22D2707A"/>
    <w:rsid w:val="22D909D3"/>
    <w:rsid w:val="22E67C42"/>
    <w:rsid w:val="22E91FFA"/>
    <w:rsid w:val="22E94841"/>
    <w:rsid w:val="22EC53FC"/>
    <w:rsid w:val="22F240AB"/>
    <w:rsid w:val="22FD1184"/>
    <w:rsid w:val="22FF181D"/>
    <w:rsid w:val="22FF367E"/>
    <w:rsid w:val="230936A9"/>
    <w:rsid w:val="23101F2E"/>
    <w:rsid w:val="231337FF"/>
    <w:rsid w:val="231C73B4"/>
    <w:rsid w:val="232A7F7E"/>
    <w:rsid w:val="232B2612"/>
    <w:rsid w:val="23350A38"/>
    <w:rsid w:val="23361412"/>
    <w:rsid w:val="23447F6D"/>
    <w:rsid w:val="234655E9"/>
    <w:rsid w:val="23476D20"/>
    <w:rsid w:val="23526931"/>
    <w:rsid w:val="236F21C0"/>
    <w:rsid w:val="237A36E0"/>
    <w:rsid w:val="237D0148"/>
    <w:rsid w:val="23854AFC"/>
    <w:rsid w:val="23981364"/>
    <w:rsid w:val="23A71858"/>
    <w:rsid w:val="23AF2E12"/>
    <w:rsid w:val="23B10B00"/>
    <w:rsid w:val="23CE702F"/>
    <w:rsid w:val="23CE7505"/>
    <w:rsid w:val="23D670F1"/>
    <w:rsid w:val="23E9373D"/>
    <w:rsid w:val="23EA6275"/>
    <w:rsid w:val="23EA7843"/>
    <w:rsid w:val="240D3AC6"/>
    <w:rsid w:val="241629E9"/>
    <w:rsid w:val="2434488F"/>
    <w:rsid w:val="24372E15"/>
    <w:rsid w:val="243C07EF"/>
    <w:rsid w:val="243C50C4"/>
    <w:rsid w:val="24407957"/>
    <w:rsid w:val="244138C4"/>
    <w:rsid w:val="24425C82"/>
    <w:rsid w:val="244E0FB2"/>
    <w:rsid w:val="24523E6B"/>
    <w:rsid w:val="245E6479"/>
    <w:rsid w:val="248435BC"/>
    <w:rsid w:val="24920B19"/>
    <w:rsid w:val="24956D61"/>
    <w:rsid w:val="24D94A47"/>
    <w:rsid w:val="24E73701"/>
    <w:rsid w:val="24E928BE"/>
    <w:rsid w:val="24EB2CD2"/>
    <w:rsid w:val="24F03545"/>
    <w:rsid w:val="24F15593"/>
    <w:rsid w:val="24FE1255"/>
    <w:rsid w:val="25047562"/>
    <w:rsid w:val="250A7F60"/>
    <w:rsid w:val="250C0222"/>
    <w:rsid w:val="250F69F1"/>
    <w:rsid w:val="25190627"/>
    <w:rsid w:val="253661D4"/>
    <w:rsid w:val="254231BE"/>
    <w:rsid w:val="25460CF9"/>
    <w:rsid w:val="255F47F5"/>
    <w:rsid w:val="255F5235"/>
    <w:rsid w:val="25726B45"/>
    <w:rsid w:val="257A57B5"/>
    <w:rsid w:val="2589162E"/>
    <w:rsid w:val="258C2C77"/>
    <w:rsid w:val="25915BD8"/>
    <w:rsid w:val="25952570"/>
    <w:rsid w:val="259C7C27"/>
    <w:rsid w:val="25A51CCF"/>
    <w:rsid w:val="25A742AA"/>
    <w:rsid w:val="25A920B4"/>
    <w:rsid w:val="25A93CC2"/>
    <w:rsid w:val="25BB3B94"/>
    <w:rsid w:val="25C00206"/>
    <w:rsid w:val="25DC3954"/>
    <w:rsid w:val="25E60285"/>
    <w:rsid w:val="25E633D7"/>
    <w:rsid w:val="25E74E31"/>
    <w:rsid w:val="25EE45FD"/>
    <w:rsid w:val="25F612C0"/>
    <w:rsid w:val="26013250"/>
    <w:rsid w:val="26026C80"/>
    <w:rsid w:val="260C5268"/>
    <w:rsid w:val="26252705"/>
    <w:rsid w:val="26300688"/>
    <w:rsid w:val="263A2BE3"/>
    <w:rsid w:val="26426DD4"/>
    <w:rsid w:val="26500DC0"/>
    <w:rsid w:val="265718CC"/>
    <w:rsid w:val="26666271"/>
    <w:rsid w:val="267C53DA"/>
    <w:rsid w:val="267E504D"/>
    <w:rsid w:val="268259B2"/>
    <w:rsid w:val="268338B6"/>
    <w:rsid w:val="268A14AC"/>
    <w:rsid w:val="26934BF1"/>
    <w:rsid w:val="269362E3"/>
    <w:rsid w:val="26A5448A"/>
    <w:rsid w:val="26AC6AD0"/>
    <w:rsid w:val="26C363B3"/>
    <w:rsid w:val="26F50BDB"/>
    <w:rsid w:val="26F91001"/>
    <w:rsid w:val="27130ACE"/>
    <w:rsid w:val="272677BC"/>
    <w:rsid w:val="27283C0A"/>
    <w:rsid w:val="27294289"/>
    <w:rsid w:val="272D723C"/>
    <w:rsid w:val="27365BBD"/>
    <w:rsid w:val="27381365"/>
    <w:rsid w:val="273B6E85"/>
    <w:rsid w:val="273D098C"/>
    <w:rsid w:val="274029CA"/>
    <w:rsid w:val="274953D9"/>
    <w:rsid w:val="2750794F"/>
    <w:rsid w:val="275C55BF"/>
    <w:rsid w:val="276E1C18"/>
    <w:rsid w:val="27726551"/>
    <w:rsid w:val="277A5F82"/>
    <w:rsid w:val="278E13C2"/>
    <w:rsid w:val="27B83B5E"/>
    <w:rsid w:val="27C70430"/>
    <w:rsid w:val="27CB6037"/>
    <w:rsid w:val="27D20919"/>
    <w:rsid w:val="27DC1D02"/>
    <w:rsid w:val="27E31ACD"/>
    <w:rsid w:val="27EF2E91"/>
    <w:rsid w:val="27F10606"/>
    <w:rsid w:val="2817062E"/>
    <w:rsid w:val="28190C37"/>
    <w:rsid w:val="282A72D4"/>
    <w:rsid w:val="283E697F"/>
    <w:rsid w:val="28415C35"/>
    <w:rsid w:val="285939A0"/>
    <w:rsid w:val="285C01E4"/>
    <w:rsid w:val="285F5E42"/>
    <w:rsid w:val="28640DDD"/>
    <w:rsid w:val="28672C1E"/>
    <w:rsid w:val="287445E5"/>
    <w:rsid w:val="287E7B50"/>
    <w:rsid w:val="28841CCC"/>
    <w:rsid w:val="288527C5"/>
    <w:rsid w:val="288D3879"/>
    <w:rsid w:val="28925E9C"/>
    <w:rsid w:val="28936E10"/>
    <w:rsid w:val="28970403"/>
    <w:rsid w:val="28AA11B7"/>
    <w:rsid w:val="28AE0412"/>
    <w:rsid w:val="28B50B6A"/>
    <w:rsid w:val="28CC2809"/>
    <w:rsid w:val="28DD37F9"/>
    <w:rsid w:val="28E6270D"/>
    <w:rsid w:val="28FE2638"/>
    <w:rsid w:val="29024666"/>
    <w:rsid w:val="291120B3"/>
    <w:rsid w:val="29133087"/>
    <w:rsid w:val="29184623"/>
    <w:rsid w:val="291B2276"/>
    <w:rsid w:val="29215C3E"/>
    <w:rsid w:val="292A740A"/>
    <w:rsid w:val="29361EFE"/>
    <w:rsid w:val="294A4A32"/>
    <w:rsid w:val="295D6C8D"/>
    <w:rsid w:val="295F5CB6"/>
    <w:rsid w:val="29662D3F"/>
    <w:rsid w:val="29671C51"/>
    <w:rsid w:val="29706DC9"/>
    <w:rsid w:val="2976035F"/>
    <w:rsid w:val="29806A9C"/>
    <w:rsid w:val="298F16C2"/>
    <w:rsid w:val="299834A6"/>
    <w:rsid w:val="29A814C5"/>
    <w:rsid w:val="29D72731"/>
    <w:rsid w:val="29DE6035"/>
    <w:rsid w:val="29E5333C"/>
    <w:rsid w:val="29E84DD3"/>
    <w:rsid w:val="29ED66B9"/>
    <w:rsid w:val="29EE44E0"/>
    <w:rsid w:val="29F319B0"/>
    <w:rsid w:val="29FD77D4"/>
    <w:rsid w:val="2A007439"/>
    <w:rsid w:val="2A0A1487"/>
    <w:rsid w:val="2A1A15CE"/>
    <w:rsid w:val="2A1F5A9F"/>
    <w:rsid w:val="2A2361E0"/>
    <w:rsid w:val="2A263200"/>
    <w:rsid w:val="2A27688E"/>
    <w:rsid w:val="2A2F0351"/>
    <w:rsid w:val="2A301C46"/>
    <w:rsid w:val="2A7C0ECC"/>
    <w:rsid w:val="2A912EF5"/>
    <w:rsid w:val="2A9B2140"/>
    <w:rsid w:val="2AAF30C4"/>
    <w:rsid w:val="2AB17355"/>
    <w:rsid w:val="2ABB0DF3"/>
    <w:rsid w:val="2ABE44D3"/>
    <w:rsid w:val="2AC70190"/>
    <w:rsid w:val="2ACD779E"/>
    <w:rsid w:val="2ADB0919"/>
    <w:rsid w:val="2AE50552"/>
    <w:rsid w:val="2AE609AE"/>
    <w:rsid w:val="2AEA4971"/>
    <w:rsid w:val="2AF145C3"/>
    <w:rsid w:val="2AFE125D"/>
    <w:rsid w:val="2B0100FD"/>
    <w:rsid w:val="2B1674E5"/>
    <w:rsid w:val="2B1B4127"/>
    <w:rsid w:val="2B2D2C6E"/>
    <w:rsid w:val="2B4735F7"/>
    <w:rsid w:val="2B494D28"/>
    <w:rsid w:val="2B620743"/>
    <w:rsid w:val="2B760E14"/>
    <w:rsid w:val="2B7905C4"/>
    <w:rsid w:val="2B7B7DA5"/>
    <w:rsid w:val="2B8B2D9D"/>
    <w:rsid w:val="2B8C6632"/>
    <w:rsid w:val="2B8C71D0"/>
    <w:rsid w:val="2BA5776D"/>
    <w:rsid w:val="2BA61383"/>
    <w:rsid w:val="2BD47DFD"/>
    <w:rsid w:val="2BD66439"/>
    <w:rsid w:val="2BDB27BE"/>
    <w:rsid w:val="2BE152B9"/>
    <w:rsid w:val="2BF74C87"/>
    <w:rsid w:val="2C082F54"/>
    <w:rsid w:val="2C0A4D8F"/>
    <w:rsid w:val="2C0E0D23"/>
    <w:rsid w:val="2C183B08"/>
    <w:rsid w:val="2C2B420A"/>
    <w:rsid w:val="2C33290D"/>
    <w:rsid w:val="2C335A95"/>
    <w:rsid w:val="2C361043"/>
    <w:rsid w:val="2C385980"/>
    <w:rsid w:val="2C410F70"/>
    <w:rsid w:val="2C4A2ACB"/>
    <w:rsid w:val="2C520C10"/>
    <w:rsid w:val="2C526E62"/>
    <w:rsid w:val="2C536CDF"/>
    <w:rsid w:val="2C5746C9"/>
    <w:rsid w:val="2C633E88"/>
    <w:rsid w:val="2C6C21CC"/>
    <w:rsid w:val="2C6C31C0"/>
    <w:rsid w:val="2C8D5247"/>
    <w:rsid w:val="2CA27890"/>
    <w:rsid w:val="2CD36631"/>
    <w:rsid w:val="2CD413B1"/>
    <w:rsid w:val="2CD836F5"/>
    <w:rsid w:val="2CDF7AEC"/>
    <w:rsid w:val="2CE268D4"/>
    <w:rsid w:val="2CE629A3"/>
    <w:rsid w:val="2CE6307D"/>
    <w:rsid w:val="2CFD2773"/>
    <w:rsid w:val="2D07785C"/>
    <w:rsid w:val="2D0D31CA"/>
    <w:rsid w:val="2D1648BC"/>
    <w:rsid w:val="2D2E17A1"/>
    <w:rsid w:val="2D302386"/>
    <w:rsid w:val="2D3505E2"/>
    <w:rsid w:val="2D37677A"/>
    <w:rsid w:val="2D386FD2"/>
    <w:rsid w:val="2D3D1758"/>
    <w:rsid w:val="2D3F7EF7"/>
    <w:rsid w:val="2D4164B4"/>
    <w:rsid w:val="2D4E2851"/>
    <w:rsid w:val="2D502BAC"/>
    <w:rsid w:val="2D5D67C7"/>
    <w:rsid w:val="2D626812"/>
    <w:rsid w:val="2D697037"/>
    <w:rsid w:val="2D6B46F9"/>
    <w:rsid w:val="2D727875"/>
    <w:rsid w:val="2D7526AA"/>
    <w:rsid w:val="2D7A3E58"/>
    <w:rsid w:val="2D7B4BF1"/>
    <w:rsid w:val="2D907BEE"/>
    <w:rsid w:val="2D962520"/>
    <w:rsid w:val="2D9D1F27"/>
    <w:rsid w:val="2DAE7161"/>
    <w:rsid w:val="2DB04A93"/>
    <w:rsid w:val="2DBB4593"/>
    <w:rsid w:val="2DBB6F83"/>
    <w:rsid w:val="2DD06EFD"/>
    <w:rsid w:val="2DDB7535"/>
    <w:rsid w:val="2DE105AF"/>
    <w:rsid w:val="2DE55AB4"/>
    <w:rsid w:val="2DE71A16"/>
    <w:rsid w:val="2DEF4371"/>
    <w:rsid w:val="2DF857E7"/>
    <w:rsid w:val="2DFE0C18"/>
    <w:rsid w:val="2E096771"/>
    <w:rsid w:val="2E105BDC"/>
    <w:rsid w:val="2E110657"/>
    <w:rsid w:val="2E161C1A"/>
    <w:rsid w:val="2E3A108B"/>
    <w:rsid w:val="2E422F06"/>
    <w:rsid w:val="2E5670D0"/>
    <w:rsid w:val="2E5E2AFC"/>
    <w:rsid w:val="2E633EB6"/>
    <w:rsid w:val="2E654070"/>
    <w:rsid w:val="2E68639B"/>
    <w:rsid w:val="2E6E3215"/>
    <w:rsid w:val="2E793111"/>
    <w:rsid w:val="2E832FE3"/>
    <w:rsid w:val="2E8D5C99"/>
    <w:rsid w:val="2E8D5E2B"/>
    <w:rsid w:val="2E953036"/>
    <w:rsid w:val="2E974C20"/>
    <w:rsid w:val="2E9E012E"/>
    <w:rsid w:val="2EA241A8"/>
    <w:rsid w:val="2EA878B4"/>
    <w:rsid w:val="2EBB3BD9"/>
    <w:rsid w:val="2ECF4A9C"/>
    <w:rsid w:val="2ED72E29"/>
    <w:rsid w:val="2EDD5109"/>
    <w:rsid w:val="2EE1504A"/>
    <w:rsid w:val="2EE32100"/>
    <w:rsid w:val="2EE713B8"/>
    <w:rsid w:val="2EEA7478"/>
    <w:rsid w:val="2F1E10A7"/>
    <w:rsid w:val="2F25260C"/>
    <w:rsid w:val="2F2B5E57"/>
    <w:rsid w:val="2F2E7A9C"/>
    <w:rsid w:val="2F3204BB"/>
    <w:rsid w:val="2F3A5294"/>
    <w:rsid w:val="2F4B0DA5"/>
    <w:rsid w:val="2F4E6D6A"/>
    <w:rsid w:val="2F5A7DDB"/>
    <w:rsid w:val="2F65767F"/>
    <w:rsid w:val="2F8E7AFE"/>
    <w:rsid w:val="2F8F5372"/>
    <w:rsid w:val="2F904A8B"/>
    <w:rsid w:val="2F992159"/>
    <w:rsid w:val="2FAC4547"/>
    <w:rsid w:val="2FCC6ADC"/>
    <w:rsid w:val="2FD56C51"/>
    <w:rsid w:val="2FD61EC4"/>
    <w:rsid w:val="2FDD7A81"/>
    <w:rsid w:val="2FE34C37"/>
    <w:rsid w:val="2FE7202C"/>
    <w:rsid w:val="2FF742A1"/>
    <w:rsid w:val="30132955"/>
    <w:rsid w:val="30142680"/>
    <w:rsid w:val="302A453E"/>
    <w:rsid w:val="30481513"/>
    <w:rsid w:val="304B504C"/>
    <w:rsid w:val="305667F5"/>
    <w:rsid w:val="305827E0"/>
    <w:rsid w:val="3073594C"/>
    <w:rsid w:val="30A57328"/>
    <w:rsid w:val="30AC28B9"/>
    <w:rsid w:val="30AD0929"/>
    <w:rsid w:val="30B36158"/>
    <w:rsid w:val="30BD5B04"/>
    <w:rsid w:val="30CD67C6"/>
    <w:rsid w:val="30D140CD"/>
    <w:rsid w:val="30F502F1"/>
    <w:rsid w:val="310865CC"/>
    <w:rsid w:val="310C54B7"/>
    <w:rsid w:val="311143C8"/>
    <w:rsid w:val="31196F5D"/>
    <w:rsid w:val="31237BC2"/>
    <w:rsid w:val="31285BC3"/>
    <w:rsid w:val="313B4EF9"/>
    <w:rsid w:val="313D2178"/>
    <w:rsid w:val="313E6208"/>
    <w:rsid w:val="315157EB"/>
    <w:rsid w:val="316267D4"/>
    <w:rsid w:val="316D0B31"/>
    <w:rsid w:val="316F0E5B"/>
    <w:rsid w:val="317613FF"/>
    <w:rsid w:val="31763D43"/>
    <w:rsid w:val="317D017E"/>
    <w:rsid w:val="31826C49"/>
    <w:rsid w:val="318305DF"/>
    <w:rsid w:val="318F0264"/>
    <w:rsid w:val="31A16C2A"/>
    <w:rsid w:val="31A93C46"/>
    <w:rsid w:val="31AB71D2"/>
    <w:rsid w:val="31AD27C6"/>
    <w:rsid w:val="31C362CB"/>
    <w:rsid w:val="31C94416"/>
    <w:rsid w:val="31CB6091"/>
    <w:rsid w:val="31CD1C13"/>
    <w:rsid w:val="31D1694B"/>
    <w:rsid w:val="31DC5155"/>
    <w:rsid w:val="31E12333"/>
    <w:rsid w:val="31F63317"/>
    <w:rsid w:val="31FD6073"/>
    <w:rsid w:val="32024E86"/>
    <w:rsid w:val="3210115D"/>
    <w:rsid w:val="32153495"/>
    <w:rsid w:val="3220243A"/>
    <w:rsid w:val="322F301F"/>
    <w:rsid w:val="3233348B"/>
    <w:rsid w:val="32362F74"/>
    <w:rsid w:val="32393EFC"/>
    <w:rsid w:val="324F5BF1"/>
    <w:rsid w:val="325F0F0C"/>
    <w:rsid w:val="32644486"/>
    <w:rsid w:val="326B722B"/>
    <w:rsid w:val="327422B7"/>
    <w:rsid w:val="32843AED"/>
    <w:rsid w:val="32A603EB"/>
    <w:rsid w:val="32AE2918"/>
    <w:rsid w:val="32B949EA"/>
    <w:rsid w:val="32CE7207"/>
    <w:rsid w:val="32DD302D"/>
    <w:rsid w:val="32E27942"/>
    <w:rsid w:val="32F6565F"/>
    <w:rsid w:val="3304078A"/>
    <w:rsid w:val="330864CC"/>
    <w:rsid w:val="33196106"/>
    <w:rsid w:val="332F054D"/>
    <w:rsid w:val="33516BCC"/>
    <w:rsid w:val="33643835"/>
    <w:rsid w:val="33647E1B"/>
    <w:rsid w:val="337B485B"/>
    <w:rsid w:val="337C5F73"/>
    <w:rsid w:val="3385067B"/>
    <w:rsid w:val="33883E73"/>
    <w:rsid w:val="33890C8F"/>
    <w:rsid w:val="33997124"/>
    <w:rsid w:val="33A54DD3"/>
    <w:rsid w:val="33A61A0B"/>
    <w:rsid w:val="33AD4194"/>
    <w:rsid w:val="33B15795"/>
    <w:rsid w:val="33B675FB"/>
    <w:rsid w:val="33CE5227"/>
    <w:rsid w:val="33D77C4D"/>
    <w:rsid w:val="33D96789"/>
    <w:rsid w:val="33DB2276"/>
    <w:rsid w:val="33EE6039"/>
    <w:rsid w:val="33EF6B5D"/>
    <w:rsid w:val="33F87CBC"/>
    <w:rsid w:val="33FA57F3"/>
    <w:rsid w:val="340F2987"/>
    <w:rsid w:val="34155000"/>
    <w:rsid w:val="34241E5A"/>
    <w:rsid w:val="3425464E"/>
    <w:rsid w:val="342A4534"/>
    <w:rsid w:val="342B2748"/>
    <w:rsid w:val="34347613"/>
    <w:rsid w:val="344545A1"/>
    <w:rsid w:val="34473024"/>
    <w:rsid w:val="344A2F2E"/>
    <w:rsid w:val="344F3B16"/>
    <w:rsid w:val="34503AE0"/>
    <w:rsid w:val="345F3CA4"/>
    <w:rsid w:val="34706D7C"/>
    <w:rsid w:val="347C2B73"/>
    <w:rsid w:val="347E0774"/>
    <w:rsid w:val="349A226E"/>
    <w:rsid w:val="34A12CA4"/>
    <w:rsid w:val="34A74049"/>
    <w:rsid w:val="34A87C0A"/>
    <w:rsid w:val="34B46996"/>
    <w:rsid w:val="34BD1CD9"/>
    <w:rsid w:val="34BE17F8"/>
    <w:rsid w:val="34BE1A18"/>
    <w:rsid w:val="34C916CF"/>
    <w:rsid w:val="34CD06DF"/>
    <w:rsid w:val="34D83B42"/>
    <w:rsid w:val="34E631BA"/>
    <w:rsid w:val="34EA4FFE"/>
    <w:rsid w:val="35014893"/>
    <w:rsid w:val="35044E0A"/>
    <w:rsid w:val="350A38BC"/>
    <w:rsid w:val="3535049D"/>
    <w:rsid w:val="353A2AD5"/>
    <w:rsid w:val="354A2E9C"/>
    <w:rsid w:val="354C02F1"/>
    <w:rsid w:val="35586040"/>
    <w:rsid w:val="355B097B"/>
    <w:rsid w:val="355D7E48"/>
    <w:rsid w:val="35640AA7"/>
    <w:rsid w:val="358A1ACA"/>
    <w:rsid w:val="358A4254"/>
    <w:rsid w:val="359965F5"/>
    <w:rsid w:val="359D0D29"/>
    <w:rsid w:val="35A64B1C"/>
    <w:rsid w:val="35A85E7F"/>
    <w:rsid w:val="35C41515"/>
    <w:rsid w:val="35DA1C16"/>
    <w:rsid w:val="35E20AB3"/>
    <w:rsid w:val="35E40AAF"/>
    <w:rsid w:val="35E9447C"/>
    <w:rsid w:val="35ED0684"/>
    <w:rsid w:val="3607629B"/>
    <w:rsid w:val="360D7BDD"/>
    <w:rsid w:val="3616733E"/>
    <w:rsid w:val="362048E7"/>
    <w:rsid w:val="36280C33"/>
    <w:rsid w:val="362B7385"/>
    <w:rsid w:val="362D624A"/>
    <w:rsid w:val="363C7A26"/>
    <w:rsid w:val="36572238"/>
    <w:rsid w:val="36714388"/>
    <w:rsid w:val="367B525F"/>
    <w:rsid w:val="367F6C7D"/>
    <w:rsid w:val="3689263B"/>
    <w:rsid w:val="368B3923"/>
    <w:rsid w:val="368E2129"/>
    <w:rsid w:val="369F146B"/>
    <w:rsid w:val="36A2338A"/>
    <w:rsid w:val="36A43E63"/>
    <w:rsid w:val="36AB765E"/>
    <w:rsid w:val="36AF3A1C"/>
    <w:rsid w:val="36B74AF6"/>
    <w:rsid w:val="36BF5033"/>
    <w:rsid w:val="36CC4E8E"/>
    <w:rsid w:val="36D33498"/>
    <w:rsid w:val="36D35884"/>
    <w:rsid w:val="36D910F2"/>
    <w:rsid w:val="36E24857"/>
    <w:rsid w:val="36F016CA"/>
    <w:rsid w:val="37021E57"/>
    <w:rsid w:val="37101C5F"/>
    <w:rsid w:val="37134EED"/>
    <w:rsid w:val="372F673B"/>
    <w:rsid w:val="3735060F"/>
    <w:rsid w:val="37400CBA"/>
    <w:rsid w:val="37462B6D"/>
    <w:rsid w:val="3749211E"/>
    <w:rsid w:val="376D1BAD"/>
    <w:rsid w:val="37725E4D"/>
    <w:rsid w:val="377E0A45"/>
    <w:rsid w:val="37811EE8"/>
    <w:rsid w:val="3788047A"/>
    <w:rsid w:val="378F690C"/>
    <w:rsid w:val="37970291"/>
    <w:rsid w:val="37A10B19"/>
    <w:rsid w:val="37A7676C"/>
    <w:rsid w:val="37AF1490"/>
    <w:rsid w:val="37B00DA3"/>
    <w:rsid w:val="37B652C5"/>
    <w:rsid w:val="37BC3DC7"/>
    <w:rsid w:val="37DD5BE3"/>
    <w:rsid w:val="37E04929"/>
    <w:rsid w:val="37E1564A"/>
    <w:rsid w:val="37F24D21"/>
    <w:rsid w:val="38054756"/>
    <w:rsid w:val="381C4EFF"/>
    <w:rsid w:val="38375C66"/>
    <w:rsid w:val="38551131"/>
    <w:rsid w:val="38622165"/>
    <w:rsid w:val="386776ED"/>
    <w:rsid w:val="386C2AA2"/>
    <w:rsid w:val="38760DB8"/>
    <w:rsid w:val="387741B4"/>
    <w:rsid w:val="387A0C66"/>
    <w:rsid w:val="38896326"/>
    <w:rsid w:val="388D7506"/>
    <w:rsid w:val="3891704B"/>
    <w:rsid w:val="3894652D"/>
    <w:rsid w:val="38A61205"/>
    <w:rsid w:val="38BB64B8"/>
    <w:rsid w:val="38BD6FDF"/>
    <w:rsid w:val="38C33371"/>
    <w:rsid w:val="38C35764"/>
    <w:rsid w:val="38CC57E4"/>
    <w:rsid w:val="38DB7B5F"/>
    <w:rsid w:val="38EF5842"/>
    <w:rsid w:val="38F8510D"/>
    <w:rsid w:val="390A2872"/>
    <w:rsid w:val="391725C0"/>
    <w:rsid w:val="3925374E"/>
    <w:rsid w:val="392628AE"/>
    <w:rsid w:val="3928085A"/>
    <w:rsid w:val="39382F3B"/>
    <w:rsid w:val="39472CE8"/>
    <w:rsid w:val="394C0BF2"/>
    <w:rsid w:val="3951224F"/>
    <w:rsid w:val="395C1022"/>
    <w:rsid w:val="39750C67"/>
    <w:rsid w:val="397A1568"/>
    <w:rsid w:val="397A53E5"/>
    <w:rsid w:val="397F07BE"/>
    <w:rsid w:val="399D5A5C"/>
    <w:rsid w:val="39A40668"/>
    <w:rsid w:val="39B42D34"/>
    <w:rsid w:val="39D649E4"/>
    <w:rsid w:val="39DA16C3"/>
    <w:rsid w:val="39E87E59"/>
    <w:rsid w:val="39E9692C"/>
    <w:rsid w:val="39F31D94"/>
    <w:rsid w:val="39F70DCD"/>
    <w:rsid w:val="39F84C79"/>
    <w:rsid w:val="39F91C7C"/>
    <w:rsid w:val="3A3D49B0"/>
    <w:rsid w:val="3A3F1F3F"/>
    <w:rsid w:val="3A4B6265"/>
    <w:rsid w:val="3A507E77"/>
    <w:rsid w:val="3A611FAB"/>
    <w:rsid w:val="3A616EB5"/>
    <w:rsid w:val="3A692B81"/>
    <w:rsid w:val="3A820EB6"/>
    <w:rsid w:val="3A8446A7"/>
    <w:rsid w:val="3A8A70C9"/>
    <w:rsid w:val="3A8D6CA0"/>
    <w:rsid w:val="3A8F0928"/>
    <w:rsid w:val="3A96260F"/>
    <w:rsid w:val="3A995C5C"/>
    <w:rsid w:val="3AB7512D"/>
    <w:rsid w:val="3ABC4760"/>
    <w:rsid w:val="3ABD508F"/>
    <w:rsid w:val="3ABE537A"/>
    <w:rsid w:val="3AC258E1"/>
    <w:rsid w:val="3AD763D7"/>
    <w:rsid w:val="3AE75FB6"/>
    <w:rsid w:val="3AFD44E9"/>
    <w:rsid w:val="3AFD4854"/>
    <w:rsid w:val="3B0637B0"/>
    <w:rsid w:val="3B2124A4"/>
    <w:rsid w:val="3B345F96"/>
    <w:rsid w:val="3B4C70F8"/>
    <w:rsid w:val="3B595FBE"/>
    <w:rsid w:val="3B637ABB"/>
    <w:rsid w:val="3B693880"/>
    <w:rsid w:val="3B695B7C"/>
    <w:rsid w:val="3B6E6EEA"/>
    <w:rsid w:val="3B7C2027"/>
    <w:rsid w:val="3B802CBB"/>
    <w:rsid w:val="3B960214"/>
    <w:rsid w:val="3B9D352A"/>
    <w:rsid w:val="3BA30F1D"/>
    <w:rsid w:val="3BA66333"/>
    <w:rsid w:val="3BA81FCB"/>
    <w:rsid w:val="3BBA7883"/>
    <w:rsid w:val="3BBE4987"/>
    <w:rsid w:val="3BC12100"/>
    <w:rsid w:val="3BC15980"/>
    <w:rsid w:val="3BC35686"/>
    <w:rsid w:val="3BC37EF8"/>
    <w:rsid w:val="3BDC202D"/>
    <w:rsid w:val="3BE43074"/>
    <w:rsid w:val="3C017F5D"/>
    <w:rsid w:val="3C050D4E"/>
    <w:rsid w:val="3C0A2EB1"/>
    <w:rsid w:val="3C1C08F2"/>
    <w:rsid w:val="3C1D2C38"/>
    <w:rsid w:val="3C2553AA"/>
    <w:rsid w:val="3C291261"/>
    <w:rsid w:val="3C3632D4"/>
    <w:rsid w:val="3C387660"/>
    <w:rsid w:val="3C481407"/>
    <w:rsid w:val="3C5C1C3E"/>
    <w:rsid w:val="3C5D0868"/>
    <w:rsid w:val="3C612AFF"/>
    <w:rsid w:val="3C6D0F69"/>
    <w:rsid w:val="3C753B5A"/>
    <w:rsid w:val="3C764EAA"/>
    <w:rsid w:val="3C77514B"/>
    <w:rsid w:val="3C7F1FC2"/>
    <w:rsid w:val="3CAF7102"/>
    <w:rsid w:val="3CC26CB2"/>
    <w:rsid w:val="3CCE362B"/>
    <w:rsid w:val="3CD13D8B"/>
    <w:rsid w:val="3CD2211B"/>
    <w:rsid w:val="3CE23269"/>
    <w:rsid w:val="3CE30098"/>
    <w:rsid w:val="3CE46170"/>
    <w:rsid w:val="3CEF24AB"/>
    <w:rsid w:val="3CF05A1E"/>
    <w:rsid w:val="3CF7064B"/>
    <w:rsid w:val="3CFA4BFF"/>
    <w:rsid w:val="3CFF03D0"/>
    <w:rsid w:val="3CFF3CB7"/>
    <w:rsid w:val="3D01076F"/>
    <w:rsid w:val="3D034535"/>
    <w:rsid w:val="3D062B25"/>
    <w:rsid w:val="3D0A6D1E"/>
    <w:rsid w:val="3D0B0988"/>
    <w:rsid w:val="3D1507F8"/>
    <w:rsid w:val="3D2D2171"/>
    <w:rsid w:val="3D37326B"/>
    <w:rsid w:val="3D3E0A5C"/>
    <w:rsid w:val="3D722D3B"/>
    <w:rsid w:val="3D7549B1"/>
    <w:rsid w:val="3D883836"/>
    <w:rsid w:val="3D93073E"/>
    <w:rsid w:val="3DA07F51"/>
    <w:rsid w:val="3DC3166C"/>
    <w:rsid w:val="3DC60A63"/>
    <w:rsid w:val="3DCA5152"/>
    <w:rsid w:val="3DDF6088"/>
    <w:rsid w:val="3DE65872"/>
    <w:rsid w:val="3DE9790D"/>
    <w:rsid w:val="3E12266C"/>
    <w:rsid w:val="3E132A9A"/>
    <w:rsid w:val="3E201DAF"/>
    <w:rsid w:val="3E2024DC"/>
    <w:rsid w:val="3E24274D"/>
    <w:rsid w:val="3E29376A"/>
    <w:rsid w:val="3E5B0C66"/>
    <w:rsid w:val="3E645CC4"/>
    <w:rsid w:val="3E672579"/>
    <w:rsid w:val="3E815385"/>
    <w:rsid w:val="3E8F6E78"/>
    <w:rsid w:val="3EAD5FE8"/>
    <w:rsid w:val="3EBF34ED"/>
    <w:rsid w:val="3EC3403F"/>
    <w:rsid w:val="3EC92287"/>
    <w:rsid w:val="3ECC154D"/>
    <w:rsid w:val="3ED8061F"/>
    <w:rsid w:val="3EDA230E"/>
    <w:rsid w:val="3EDD3236"/>
    <w:rsid w:val="3EE718C4"/>
    <w:rsid w:val="3EFE69D5"/>
    <w:rsid w:val="3F024488"/>
    <w:rsid w:val="3F177461"/>
    <w:rsid w:val="3F1C3A5A"/>
    <w:rsid w:val="3F210EC9"/>
    <w:rsid w:val="3F212C5E"/>
    <w:rsid w:val="3F2E13B9"/>
    <w:rsid w:val="3F2F4457"/>
    <w:rsid w:val="3F5901D1"/>
    <w:rsid w:val="3F6317DC"/>
    <w:rsid w:val="3F684CF1"/>
    <w:rsid w:val="3F7F2379"/>
    <w:rsid w:val="3F950288"/>
    <w:rsid w:val="3F9C135A"/>
    <w:rsid w:val="3FA6693B"/>
    <w:rsid w:val="3FB55A94"/>
    <w:rsid w:val="3FBF628A"/>
    <w:rsid w:val="3FC43688"/>
    <w:rsid w:val="3FD84D6B"/>
    <w:rsid w:val="3FDF51CD"/>
    <w:rsid w:val="3FF417AD"/>
    <w:rsid w:val="3FFB27AD"/>
    <w:rsid w:val="3FFF0560"/>
    <w:rsid w:val="40043612"/>
    <w:rsid w:val="40156BD0"/>
    <w:rsid w:val="401F0D61"/>
    <w:rsid w:val="402970A9"/>
    <w:rsid w:val="40442E5C"/>
    <w:rsid w:val="404D19E3"/>
    <w:rsid w:val="40682FCE"/>
    <w:rsid w:val="407F19EA"/>
    <w:rsid w:val="409D0293"/>
    <w:rsid w:val="40A43286"/>
    <w:rsid w:val="40AA575C"/>
    <w:rsid w:val="40AB23C9"/>
    <w:rsid w:val="40BB4E1B"/>
    <w:rsid w:val="40C00455"/>
    <w:rsid w:val="40C034E9"/>
    <w:rsid w:val="40DC394A"/>
    <w:rsid w:val="40E8106F"/>
    <w:rsid w:val="40F05854"/>
    <w:rsid w:val="40F534E0"/>
    <w:rsid w:val="40FD16DC"/>
    <w:rsid w:val="40FF65CA"/>
    <w:rsid w:val="411519BE"/>
    <w:rsid w:val="411B1511"/>
    <w:rsid w:val="411E0097"/>
    <w:rsid w:val="412532AA"/>
    <w:rsid w:val="41305F73"/>
    <w:rsid w:val="41380753"/>
    <w:rsid w:val="413D4A79"/>
    <w:rsid w:val="4140278F"/>
    <w:rsid w:val="41465FC8"/>
    <w:rsid w:val="41585B81"/>
    <w:rsid w:val="415A0ADF"/>
    <w:rsid w:val="415E1B31"/>
    <w:rsid w:val="41605B93"/>
    <w:rsid w:val="416B3891"/>
    <w:rsid w:val="416D2444"/>
    <w:rsid w:val="416D2617"/>
    <w:rsid w:val="41731CFD"/>
    <w:rsid w:val="417D6B2C"/>
    <w:rsid w:val="417E53B0"/>
    <w:rsid w:val="41D748D4"/>
    <w:rsid w:val="41DF7674"/>
    <w:rsid w:val="41F0777B"/>
    <w:rsid w:val="41F714FD"/>
    <w:rsid w:val="42096245"/>
    <w:rsid w:val="42146B7B"/>
    <w:rsid w:val="4226687E"/>
    <w:rsid w:val="422836E0"/>
    <w:rsid w:val="422B058C"/>
    <w:rsid w:val="422E137F"/>
    <w:rsid w:val="42426BD9"/>
    <w:rsid w:val="426041E0"/>
    <w:rsid w:val="4288048F"/>
    <w:rsid w:val="4294373D"/>
    <w:rsid w:val="42946A25"/>
    <w:rsid w:val="42A77076"/>
    <w:rsid w:val="42AA41A6"/>
    <w:rsid w:val="42BD5934"/>
    <w:rsid w:val="42CE1F9A"/>
    <w:rsid w:val="42DC2C0F"/>
    <w:rsid w:val="42DD2357"/>
    <w:rsid w:val="42E378EA"/>
    <w:rsid w:val="42EC17C5"/>
    <w:rsid w:val="43090999"/>
    <w:rsid w:val="430E3EED"/>
    <w:rsid w:val="431B423D"/>
    <w:rsid w:val="431B4361"/>
    <w:rsid w:val="431D6275"/>
    <w:rsid w:val="43217641"/>
    <w:rsid w:val="432B1975"/>
    <w:rsid w:val="43477D8A"/>
    <w:rsid w:val="435158BC"/>
    <w:rsid w:val="435D368B"/>
    <w:rsid w:val="43670FED"/>
    <w:rsid w:val="43731B2F"/>
    <w:rsid w:val="43A710EC"/>
    <w:rsid w:val="43B8455A"/>
    <w:rsid w:val="43CF44D3"/>
    <w:rsid w:val="43D17A46"/>
    <w:rsid w:val="43D4284F"/>
    <w:rsid w:val="43DA01EC"/>
    <w:rsid w:val="43E72F86"/>
    <w:rsid w:val="43F74887"/>
    <w:rsid w:val="43FE2137"/>
    <w:rsid w:val="43FF7D82"/>
    <w:rsid w:val="44003E36"/>
    <w:rsid w:val="44020D16"/>
    <w:rsid w:val="44216069"/>
    <w:rsid w:val="44305BBA"/>
    <w:rsid w:val="444875B7"/>
    <w:rsid w:val="444B56B7"/>
    <w:rsid w:val="446A76C8"/>
    <w:rsid w:val="447B7426"/>
    <w:rsid w:val="449E617E"/>
    <w:rsid w:val="44A12CDA"/>
    <w:rsid w:val="44B406F7"/>
    <w:rsid w:val="44B44CFB"/>
    <w:rsid w:val="44BA15F0"/>
    <w:rsid w:val="44C126F2"/>
    <w:rsid w:val="44D101A3"/>
    <w:rsid w:val="44D8211A"/>
    <w:rsid w:val="44D97CC8"/>
    <w:rsid w:val="44E11D12"/>
    <w:rsid w:val="44E74D70"/>
    <w:rsid w:val="44ED10CE"/>
    <w:rsid w:val="451134DD"/>
    <w:rsid w:val="45263CFA"/>
    <w:rsid w:val="452D3499"/>
    <w:rsid w:val="4530341B"/>
    <w:rsid w:val="453B428D"/>
    <w:rsid w:val="4545625B"/>
    <w:rsid w:val="45476C96"/>
    <w:rsid w:val="454E63B1"/>
    <w:rsid w:val="455635D1"/>
    <w:rsid w:val="455723CE"/>
    <w:rsid w:val="45760A45"/>
    <w:rsid w:val="457A5299"/>
    <w:rsid w:val="457A56BB"/>
    <w:rsid w:val="457E3416"/>
    <w:rsid w:val="458319E2"/>
    <w:rsid w:val="458C322C"/>
    <w:rsid w:val="458D6DD8"/>
    <w:rsid w:val="459109F4"/>
    <w:rsid w:val="45921A05"/>
    <w:rsid w:val="45976EFE"/>
    <w:rsid w:val="45B62896"/>
    <w:rsid w:val="45B75173"/>
    <w:rsid w:val="45B775A4"/>
    <w:rsid w:val="45BC20BA"/>
    <w:rsid w:val="45BD1FBC"/>
    <w:rsid w:val="45C72681"/>
    <w:rsid w:val="45CB5808"/>
    <w:rsid w:val="45CF6667"/>
    <w:rsid w:val="45DE6F05"/>
    <w:rsid w:val="45E73B78"/>
    <w:rsid w:val="45EC4146"/>
    <w:rsid w:val="461D5CB2"/>
    <w:rsid w:val="46225F8A"/>
    <w:rsid w:val="46243831"/>
    <w:rsid w:val="462B53C0"/>
    <w:rsid w:val="463A4FC6"/>
    <w:rsid w:val="463C6DC2"/>
    <w:rsid w:val="46424D8A"/>
    <w:rsid w:val="46445FEE"/>
    <w:rsid w:val="46521E10"/>
    <w:rsid w:val="4660799F"/>
    <w:rsid w:val="4664205E"/>
    <w:rsid w:val="466A68DA"/>
    <w:rsid w:val="466B6068"/>
    <w:rsid w:val="466B67B6"/>
    <w:rsid w:val="46790CB6"/>
    <w:rsid w:val="467D0B27"/>
    <w:rsid w:val="468F05A2"/>
    <w:rsid w:val="468F4494"/>
    <w:rsid w:val="46A36F52"/>
    <w:rsid w:val="46B63E85"/>
    <w:rsid w:val="46B74038"/>
    <w:rsid w:val="46BB24AD"/>
    <w:rsid w:val="46F860E9"/>
    <w:rsid w:val="470438DD"/>
    <w:rsid w:val="47043CD6"/>
    <w:rsid w:val="470D1525"/>
    <w:rsid w:val="4719426E"/>
    <w:rsid w:val="472231A4"/>
    <w:rsid w:val="472D2E17"/>
    <w:rsid w:val="473B747B"/>
    <w:rsid w:val="47444C90"/>
    <w:rsid w:val="474835E3"/>
    <w:rsid w:val="47506605"/>
    <w:rsid w:val="4751797E"/>
    <w:rsid w:val="47547272"/>
    <w:rsid w:val="476426E8"/>
    <w:rsid w:val="476C55A2"/>
    <w:rsid w:val="477015B5"/>
    <w:rsid w:val="47712DC1"/>
    <w:rsid w:val="47726B9D"/>
    <w:rsid w:val="47AE6B40"/>
    <w:rsid w:val="47B20776"/>
    <w:rsid w:val="47B224EA"/>
    <w:rsid w:val="47B2564E"/>
    <w:rsid w:val="47BE5983"/>
    <w:rsid w:val="47CF01F6"/>
    <w:rsid w:val="47EC6BDD"/>
    <w:rsid w:val="47F44B89"/>
    <w:rsid w:val="47F6589D"/>
    <w:rsid w:val="480C04F6"/>
    <w:rsid w:val="48242C98"/>
    <w:rsid w:val="48277895"/>
    <w:rsid w:val="482F33C1"/>
    <w:rsid w:val="483C184C"/>
    <w:rsid w:val="483F0CB0"/>
    <w:rsid w:val="485F10CD"/>
    <w:rsid w:val="48636DA4"/>
    <w:rsid w:val="48652F19"/>
    <w:rsid w:val="4875742B"/>
    <w:rsid w:val="487F476B"/>
    <w:rsid w:val="488A68CF"/>
    <w:rsid w:val="48904B42"/>
    <w:rsid w:val="489D1D0E"/>
    <w:rsid w:val="489E1AD2"/>
    <w:rsid w:val="48AA1C07"/>
    <w:rsid w:val="48AC0CEC"/>
    <w:rsid w:val="48AE76E2"/>
    <w:rsid w:val="48C83DC4"/>
    <w:rsid w:val="48D6431A"/>
    <w:rsid w:val="48DF0E6B"/>
    <w:rsid w:val="48E43E8C"/>
    <w:rsid w:val="48ED73F7"/>
    <w:rsid w:val="48F40773"/>
    <w:rsid w:val="48F43409"/>
    <w:rsid w:val="48F54560"/>
    <w:rsid w:val="49094029"/>
    <w:rsid w:val="490C5111"/>
    <w:rsid w:val="491907A2"/>
    <w:rsid w:val="491A2D45"/>
    <w:rsid w:val="492571D2"/>
    <w:rsid w:val="49332C49"/>
    <w:rsid w:val="49334494"/>
    <w:rsid w:val="4938412B"/>
    <w:rsid w:val="495F6BCD"/>
    <w:rsid w:val="496170E9"/>
    <w:rsid w:val="49696074"/>
    <w:rsid w:val="497004D0"/>
    <w:rsid w:val="498610CD"/>
    <w:rsid w:val="4989655A"/>
    <w:rsid w:val="499C4175"/>
    <w:rsid w:val="49B72443"/>
    <w:rsid w:val="49C918F6"/>
    <w:rsid w:val="49CF7183"/>
    <w:rsid w:val="49F829C1"/>
    <w:rsid w:val="4A154D6E"/>
    <w:rsid w:val="4A1A00BE"/>
    <w:rsid w:val="4A1B0D47"/>
    <w:rsid w:val="4A1E216C"/>
    <w:rsid w:val="4A215A8B"/>
    <w:rsid w:val="4A527036"/>
    <w:rsid w:val="4A533A5F"/>
    <w:rsid w:val="4A6D4D52"/>
    <w:rsid w:val="4A7B2048"/>
    <w:rsid w:val="4A7C6152"/>
    <w:rsid w:val="4A7C66F4"/>
    <w:rsid w:val="4A864A1E"/>
    <w:rsid w:val="4A87456B"/>
    <w:rsid w:val="4A8B7CD1"/>
    <w:rsid w:val="4A9549CB"/>
    <w:rsid w:val="4AAD4265"/>
    <w:rsid w:val="4AB51B19"/>
    <w:rsid w:val="4AB73080"/>
    <w:rsid w:val="4ABA40F8"/>
    <w:rsid w:val="4AD13110"/>
    <w:rsid w:val="4AD84510"/>
    <w:rsid w:val="4AEF6D40"/>
    <w:rsid w:val="4AFE38F0"/>
    <w:rsid w:val="4B0327C6"/>
    <w:rsid w:val="4B054B6A"/>
    <w:rsid w:val="4B0B2CAF"/>
    <w:rsid w:val="4B2C6678"/>
    <w:rsid w:val="4B404E95"/>
    <w:rsid w:val="4B47309E"/>
    <w:rsid w:val="4B4C1FB8"/>
    <w:rsid w:val="4B4D5052"/>
    <w:rsid w:val="4B5B4729"/>
    <w:rsid w:val="4B5C6083"/>
    <w:rsid w:val="4B682903"/>
    <w:rsid w:val="4B6C6682"/>
    <w:rsid w:val="4B7A337D"/>
    <w:rsid w:val="4B8207B7"/>
    <w:rsid w:val="4B871B8C"/>
    <w:rsid w:val="4B8B4FDA"/>
    <w:rsid w:val="4B9506C1"/>
    <w:rsid w:val="4BAB3FEA"/>
    <w:rsid w:val="4BC411C0"/>
    <w:rsid w:val="4BD6757B"/>
    <w:rsid w:val="4BF11F9C"/>
    <w:rsid w:val="4BF45471"/>
    <w:rsid w:val="4BF90C8A"/>
    <w:rsid w:val="4BFA7DD8"/>
    <w:rsid w:val="4BFE2089"/>
    <w:rsid w:val="4C0759BC"/>
    <w:rsid w:val="4C1764B9"/>
    <w:rsid w:val="4C2D0433"/>
    <w:rsid w:val="4C411F63"/>
    <w:rsid w:val="4C443C1D"/>
    <w:rsid w:val="4C461C95"/>
    <w:rsid w:val="4C5550A0"/>
    <w:rsid w:val="4C573346"/>
    <w:rsid w:val="4C784F99"/>
    <w:rsid w:val="4C7D4775"/>
    <w:rsid w:val="4C853ECF"/>
    <w:rsid w:val="4C920781"/>
    <w:rsid w:val="4C9B13D5"/>
    <w:rsid w:val="4C9D7D81"/>
    <w:rsid w:val="4CBB6E45"/>
    <w:rsid w:val="4CBF156E"/>
    <w:rsid w:val="4CD5093F"/>
    <w:rsid w:val="4CF655AF"/>
    <w:rsid w:val="4CFB1DA6"/>
    <w:rsid w:val="4D0F4FDC"/>
    <w:rsid w:val="4D1331BE"/>
    <w:rsid w:val="4D1A5453"/>
    <w:rsid w:val="4D2D4A55"/>
    <w:rsid w:val="4D323FCE"/>
    <w:rsid w:val="4D3B5D17"/>
    <w:rsid w:val="4D6F1B11"/>
    <w:rsid w:val="4D7E1F03"/>
    <w:rsid w:val="4D987FF5"/>
    <w:rsid w:val="4D9B41AB"/>
    <w:rsid w:val="4D9D5288"/>
    <w:rsid w:val="4DA53F28"/>
    <w:rsid w:val="4DAE0862"/>
    <w:rsid w:val="4DB36F88"/>
    <w:rsid w:val="4DBA01B6"/>
    <w:rsid w:val="4DBD730F"/>
    <w:rsid w:val="4DC94A5D"/>
    <w:rsid w:val="4DD12FC8"/>
    <w:rsid w:val="4DDF01A5"/>
    <w:rsid w:val="4DEB1BDC"/>
    <w:rsid w:val="4DEE6881"/>
    <w:rsid w:val="4DFA21DB"/>
    <w:rsid w:val="4E0565DE"/>
    <w:rsid w:val="4E0A1298"/>
    <w:rsid w:val="4E0E47B1"/>
    <w:rsid w:val="4E0F04B5"/>
    <w:rsid w:val="4E1943D3"/>
    <w:rsid w:val="4E1952D9"/>
    <w:rsid w:val="4E1C7875"/>
    <w:rsid w:val="4E2435B5"/>
    <w:rsid w:val="4E2A71F3"/>
    <w:rsid w:val="4E335D9E"/>
    <w:rsid w:val="4E3E7320"/>
    <w:rsid w:val="4E3F0E77"/>
    <w:rsid w:val="4E3F4FB5"/>
    <w:rsid w:val="4E444AD8"/>
    <w:rsid w:val="4E4752CB"/>
    <w:rsid w:val="4E57476D"/>
    <w:rsid w:val="4E5C36E5"/>
    <w:rsid w:val="4E6E7A73"/>
    <w:rsid w:val="4E6F0F85"/>
    <w:rsid w:val="4E756529"/>
    <w:rsid w:val="4E7D3EFC"/>
    <w:rsid w:val="4E8011B5"/>
    <w:rsid w:val="4E812762"/>
    <w:rsid w:val="4E824A53"/>
    <w:rsid w:val="4E860AC3"/>
    <w:rsid w:val="4E9065C5"/>
    <w:rsid w:val="4E9638DC"/>
    <w:rsid w:val="4EA560D8"/>
    <w:rsid w:val="4EAA0C27"/>
    <w:rsid w:val="4EB7664B"/>
    <w:rsid w:val="4EC103FE"/>
    <w:rsid w:val="4F0B412E"/>
    <w:rsid w:val="4F2664C5"/>
    <w:rsid w:val="4F2A308B"/>
    <w:rsid w:val="4F2B18A9"/>
    <w:rsid w:val="4F2C130B"/>
    <w:rsid w:val="4F480AF8"/>
    <w:rsid w:val="4F574F21"/>
    <w:rsid w:val="4F736EB5"/>
    <w:rsid w:val="4F762AE3"/>
    <w:rsid w:val="4F7B2712"/>
    <w:rsid w:val="4F835C08"/>
    <w:rsid w:val="4F870321"/>
    <w:rsid w:val="4F8B2BDA"/>
    <w:rsid w:val="4FA03AE4"/>
    <w:rsid w:val="4FA42B08"/>
    <w:rsid w:val="4FB003DA"/>
    <w:rsid w:val="4FB84C92"/>
    <w:rsid w:val="4FBD0615"/>
    <w:rsid w:val="4FC74511"/>
    <w:rsid w:val="4FCB3356"/>
    <w:rsid w:val="4FE614EB"/>
    <w:rsid w:val="500572CF"/>
    <w:rsid w:val="500C7C07"/>
    <w:rsid w:val="500C7F61"/>
    <w:rsid w:val="500E0695"/>
    <w:rsid w:val="50104B02"/>
    <w:rsid w:val="50243DC2"/>
    <w:rsid w:val="502D35F8"/>
    <w:rsid w:val="502D4E79"/>
    <w:rsid w:val="503F0BFC"/>
    <w:rsid w:val="504D48EB"/>
    <w:rsid w:val="5050362F"/>
    <w:rsid w:val="50516936"/>
    <w:rsid w:val="505A266A"/>
    <w:rsid w:val="505D19B3"/>
    <w:rsid w:val="506177CB"/>
    <w:rsid w:val="507537B4"/>
    <w:rsid w:val="50810807"/>
    <w:rsid w:val="50831075"/>
    <w:rsid w:val="508D1ABF"/>
    <w:rsid w:val="508D1F6C"/>
    <w:rsid w:val="509B550B"/>
    <w:rsid w:val="50A70A59"/>
    <w:rsid w:val="50A8726C"/>
    <w:rsid w:val="50D6330E"/>
    <w:rsid w:val="5109692F"/>
    <w:rsid w:val="51134FF1"/>
    <w:rsid w:val="511734F5"/>
    <w:rsid w:val="511A6B4E"/>
    <w:rsid w:val="51452242"/>
    <w:rsid w:val="515900C3"/>
    <w:rsid w:val="51694C99"/>
    <w:rsid w:val="51765ED6"/>
    <w:rsid w:val="517A4F8F"/>
    <w:rsid w:val="51976BBD"/>
    <w:rsid w:val="519B42B6"/>
    <w:rsid w:val="51A94FAF"/>
    <w:rsid w:val="51AA45E6"/>
    <w:rsid w:val="51B06BB0"/>
    <w:rsid w:val="51B35153"/>
    <w:rsid w:val="51B960DF"/>
    <w:rsid w:val="51BA5215"/>
    <w:rsid w:val="51C83469"/>
    <w:rsid w:val="51C86281"/>
    <w:rsid w:val="51CC2572"/>
    <w:rsid w:val="51F7641D"/>
    <w:rsid w:val="51F855F5"/>
    <w:rsid w:val="52091409"/>
    <w:rsid w:val="52324D7B"/>
    <w:rsid w:val="5243500C"/>
    <w:rsid w:val="525766D1"/>
    <w:rsid w:val="525E64A2"/>
    <w:rsid w:val="52766942"/>
    <w:rsid w:val="527A3337"/>
    <w:rsid w:val="5283320A"/>
    <w:rsid w:val="52870F1B"/>
    <w:rsid w:val="52884ADC"/>
    <w:rsid w:val="529E05A8"/>
    <w:rsid w:val="52A34C1C"/>
    <w:rsid w:val="52A71D2E"/>
    <w:rsid w:val="52CB2C66"/>
    <w:rsid w:val="52D32375"/>
    <w:rsid w:val="52D47D21"/>
    <w:rsid w:val="52E60507"/>
    <w:rsid w:val="5307218F"/>
    <w:rsid w:val="530D5C51"/>
    <w:rsid w:val="530F77CB"/>
    <w:rsid w:val="531B5950"/>
    <w:rsid w:val="53366588"/>
    <w:rsid w:val="53477523"/>
    <w:rsid w:val="537068FD"/>
    <w:rsid w:val="53773330"/>
    <w:rsid w:val="537B58DB"/>
    <w:rsid w:val="53806DA0"/>
    <w:rsid w:val="53842D58"/>
    <w:rsid w:val="53B8319F"/>
    <w:rsid w:val="53C51223"/>
    <w:rsid w:val="53C70CE0"/>
    <w:rsid w:val="53D03945"/>
    <w:rsid w:val="53D975FE"/>
    <w:rsid w:val="53DA1F77"/>
    <w:rsid w:val="53E97C3F"/>
    <w:rsid w:val="53EF128C"/>
    <w:rsid w:val="53F00B8B"/>
    <w:rsid w:val="53FE3ED8"/>
    <w:rsid w:val="5420538C"/>
    <w:rsid w:val="54291F5D"/>
    <w:rsid w:val="542E3461"/>
    <w:rsid w:val="54386EEE"/>
    <w:rsid w:val="54507947"/>
    <w:rsid w:val="5455791B"/>
    <w:rsid w:val="54626680"/>
    <w:rsid w:val="546E5B6B"/>
    <w:rsid w:val="546F428E"/>
    <w:rsid w:val="54737B83"/>
    <w:rsid w:val="54746421"/>
    <w:rsid w:val="547678FE"/>
    <w:rsid w:val="54813591"/>
    <w:rsid w:val="548240D2"/>
    <w:rsid w:val="548F0B4E"/>
    <w:rsid w:val="54966937"/>
    <w:rsid w:val="549944B3"/>
    <w:rsid w:val="54AC055B"/>
    <w:rsid w:val="54BA230C"/>
    <w:rsid w:val="54CF3CBA"/>
    <w:rsid w:val="54D4224E"/>
    <w:rsid w:val="54E079B3"/>
    <w:rsid w:val="54F93A8A"/>
    <w:rsid w:val="54FF4DC0"/>
    <w:rsid w:val="55083814"/>
    <w:rsid w:val="550841F9"/>
    <w:rsid w:val="5520759D"/>
    <w:rsid w:val="552D28FC"/>
    <w:rsid w:val="553B028C"/>
    <w:rsid w:val="553D10EB"/>
    <w:rsid w:val="5545143A"/>
    <w:rsid w:val="554B67CF"/>
    <w:rsid w:val="556B105B"/>
    <w:rsid w:val="557B767C"/>
    <w:rsid w:val="557D56A4"/>
    <w:rsid w:val="55854D2E"/>
    <w:rsid w:val="558B0EC4"/>
    <w:rsid w:val="55AB1667"/>
    <w:rsid w:val="55C0633B"/>
    <w:rsid w:val="55CC2F32"/>
    <w:rsid w:val="55D43ED1"/>
    <w:rsid w:val="55D46DA3"/>
    <w:rsid w:val="55E33570"/>
    <w:rsid w:val="55E772EC"/>
    <w:rsid w:val="55EB0093"/>
    <w:rsid w:val="56024722"/>
    <w:rsid w:val="56095F34"/>
    <w:rsid w:val="560F15A0"/>
    <w:rsid w:val="561F2FA4"/>
    <w:rsid w:val="564C2B01"/>
    <w:rsid w:val="56573025"/>
    <w:rsid w:val="565E3DB3"/>
    <w:rsid w:val="566677FF"/>
    <w:rsid w:val="566A31A2"/>
    <w:rsid w:val="566C3B73"/>
    <w:rsid w:val="567216B7"/>
    <w:rsid w:val="5678104D"/>
    <w:rsid w:val="56A057BD"/>
    <w:rsid w:val="56BC478D"/>
    <w:rsid w:val="56BD39C0"/>
    <w:rsid w:val="56CE4AD7"/>
    <w:rsid w:val="56E04515"/>
    <w:rsid w:val="56F73FA5"/>
    <w:rsid w:val="56FE29DB"/>
    <w:rsid w:val="570F0D2C"/>
    <w:rsid w:val="57131C90"/>
    <w:rsid w:val="57161CE9"/>
    <w:rsid w:val="572C0895"/>
    <w:rsid w:val="572C1D0F"/>
    <w:rsid w:val="57345F1A"/>
    <w:rsid w:val="573667EE"/>
    <w:rsid w:val="573D2468"/>
    <w:rsid w:val="575262F4"/>
    <w:rsid w:val="575906B0"/>
    <w:rsid w:val="575C3DBD"/>
    <w:rsid w:val="575D72D8"/>
    <w:rsid w:val="575F73B8"/>
    <w:rsid w:val="57715B28"/>
    <w:rsid w:val="577D0761"/>
    <w:rsid w:val="577F24C2"/>
    <w:rsid w:val="57814EED"/>
    <w:rsid w:val="578435E0"/>
    <w:rsid w:val="5787168B"/>
    <w:rsid w:val="578E351F"/>
    <w:rsid w:val="578F5AA1"/>
    <w:rsid w:val="5791474D"/>
    <w:rsid w:val="579F6187"/>
    <w:rsid w:val="57A148DE"/>
    <w:rsid w:val="57A321D8"/>
    <w:rsid w:val="57A91AD8"/>
    <w:rsid w:val="57AE549A"/>
    <w:rsid w:val="57AE5A0A"/>
    <w:rsid w:val="57B06935"/>
    <w:rsid w:val="57C76914"/>
    <w:rsid w:val="57C961A6"/>
    <w:rsid w:val="57F30C49"/>
    <w:rsid w:val="57F33ADD"/>
    <w:rsid w:val="57F442D8"/>
    <w:rsid w:val="57F549C2"/>
    <w:rsid w:val="57FB5741"/>
    <w:rsid w:val="580249E9"/>
    <w:rsid w:val="58207ADF"/>
    <w:rsid w:val="58236909"/>
    <w:rsid w:val="58277B25"/>
    <w:rsid w:val="58347BC8"/>
    <w:rsid w:val="583F611D"/>
    <w:rsid w:val="58741C7B"/>
    <w:rsid w:val="588102E0"/>
    <w:rsid w:val="58871392"/>
    <w:rsid w:val="5892105F"/>
    <w:rsid w:val="589A6EED"/>
    <w:rsid w:val="58BB045B"/>
    <w:rsid w:val="58BC739B"/>
    <w:rsid w:val="58CD4FF7"/>
    <w:rsid w:val="58E46C5F"/>
    <w:rsid w:val="58E81E30"/>
    <w:rsid w:val="58F0512B"/>
    <w:rsid w:val="58F34DEE"/>
    <w:rsid w:val="5907190E"/>
    <w:rsid w:val="5909312A"/>
    <w:rsid w:val="59160468"/>
    <w:rsid w:val="593605A4"/>
    <w:rsid w:val="593B0A7C"/>
    <w:rsid w:val="59496717"/>
    <w:rsid w:val="59585546"/>
    <w:rsid w:val="596F4893"/>
    <w:rsid w:val="597A3254"/>
    <w:rsid w:val="59967ADE"/>
    <w:rsid w:val="59A16D65"/>
    <w:rsid w:val="59A557B0"/>
    <w:rsid w:val="59B26314"/>
    <w:rsid w:val="59C25606"/>
    <w:rsid w:val="59E96FC2"/>
    <w:rsid w:val="59EA24F4"/>
    <w:rsid w:val="59F66FCC"/>
    <w:rsid w:val="5A0F0891"/>
    <w:rsid w:val="5A277941"/>
    <w:rsid w:val="5A2B4D8B"/>
    <w:rsid w:val="5A440600"/>
    <w:rsid w:val="5A4F05F4"/>
    <w:rsid w:val="5A57607D"/>
    <w:rsid w:val="5A5B6C38"/>
    <w:rsid w:val="5A603EA1"/>
    <w:rsid w:val="5A6742B8"/>
    <w:rsid w:val="5A763DC4"/>
    <w:rsid w:val="5A7A69E7"/>
    <w:rsid w:val="5A920FA8"/>
    <w:rsid w:val="5A926BAB"/>
    <w:rsid w:val="5A953CA8"/>
    <w:rsid w:val="5AA75ACA"/>
    <w:rsid w:val="5AA92C7E"/>
    <w:rsid w:val="5AAE2162"/>
    <w:rsid w:val="5ACD57CD"/>
    <w:rsid w:val="5AE71287"/>
    <w:rsid w:val="5AEA25E6"/>
    <w:rsid w:val="5AEE3DE9"/>
    <w:rsid w:val="5AEE6532"/>
    <w:rsid w:val="5B14558A"/>
    <w:rsid w:val="5B305D11"/>
    <w:rsid w:val="5B3378AB"/>
    <w:rsid w:val="5B3C0ABF"/>
    <w:rsid w:val="5B432563"/>
    <w:rsid w:val="5B4506D2"/>
    <w:rsid w:val="5B4E005F"/>
    <w:rsid w:val="5B58691B"/>
    <w:rsid w:val="5B5E7175"/>
    <w:rsid w:val="5B61055E"/>
    <w:rsid w:val="5B835E40"/>
    <w:rsid w:val="5B8C74FF"/>
    <w:rsid w:val="5B9F5DBE"/>
    <w:rsid w:val="5BBC7770"/>
    <w:rsid w:val="5BC327A1"/>
    <w:rsid w:val="5BDF67CB"/>
    <w:rsid w:val="5C1368B3"/>
    <w:rsid w:val="5C1C5861"/>
    <w:rsid w:val="5C25169C"/>
    <w:rsid w:val="5C2C28A8"/>
    <w:rsid w:val="5C2E23F3"/>
    <w:rsid w:val="5C4D66CC"/>
    <w:rsid w:val="5C554FE4"/>
    <w:rsid w:val="5C652610"/>
    <w:rsid w:val="5C6E2C97"/>
    <w:rsid w:val="5C84622D"/>
    <w:rsid w:val="5C88408C"/>
    <w:rsid w:val="5C9B57A1"/>
    <w:rsid w:val="5C9D1B38"/>
    <w:rsid w:val="5CB04DA7"/>
    <w:rsid w:val="5CB331A1"/>
    <w:rsid w:val="5CC25B3F"/>
    <w:rsid w:val="5CDB2F49"/>
    <w:rsid w:val="5CE56340"/>
    <w:rsid w:val="5CF15E07"/>
    <w:rsid w:val="5CFD3334"/>
    <w:rsid w:val="5CFD5E03"/>
    <w:rsid w:val="5D024210"/>
    <w:rsid w:val="5D1610E5"/>
    <w:rsid w:val="5D1E43B1"/>
    <w:rsid w:val="5D2C7F79"/>
    <w:rsid w:val="5D3B0AB2"/>
    <w:rsid w:val="5D3C01EC"/>
    <w:rsid w:val="5D4E27B8"/>
    <w:rsid w:val="5D4E503C"/>
    <w:rsid w:val="5D5618FB"/>
    <w:rsid w:val="5D7F230C"/>
    <w:rsid w:val="5D9D6107"/>
    <w:rsid w:val="5DA344BD"/>
    <w:rsid w:val="5DA648F4"/>
    <w:rsid w:val="5DB269C5"/>
    <w:rsid w:val="5DCB1D21"/>
    <w:rsid w:val="5DDD6E1B"/>
    <w:rsid w:val="5DEE37E1"/>
    <w:rsid w:val="5DEF3C61"/>
    <w:rsid w:val="5DFB5441"/>
    <w:rsid w:val="5E1A011C"/>
    <w:rsid w:val="5E1B25F5"/>
    <w:rsid w:val="5E231915"/>
    <w:rsid w:val="5E2E263F"/>
    <w:rsid w:val="5E314CA3"/>
    <w:rsid w:val="5E473E2B"/>
    <w:rsid w:val="5E4E362E"/>
    <w:rsid w:val="5E5E6979"/>
    <w:rsid w:val="5E634E8C"/>
    <w:rsid w:val="5E6C5149"/>
    <w:rsid w:val="5E714676"/>
    <w:rsid w:val="5E8545C5"/>
    <w:rsid w:val="5E872DA8"/>
    <w:rsid w:val="5E8F7EF9"/>
    <w:rsid w:val="5EBD7F90"/>
    <w:rsid w:val="5EDD66F8"/>
    <w:rsid w:val="5EDD7F5D"/>
    <w:rsid w:val="5EE4309A"/>
    <w:rsid w:val="5F082AF3"/>
    <w:rsid w:val="5F093102"/>
    <w:rsid w:val="5F0B74BF"/>
    <w:rsid w:val="5F233AEF"/>
    <w:rsid w:val="5F324950"/>
    <w:rsid w:val="5F41229A"/>
    <w:rsid w:val="5F437CD0"/>
    <w:rsid w:val="5F454D59"/>
    <w:rsid w:val="5F5105CE"/>
    <w:rsid w:val="5F511520"/>
    <w:rsid w:val="5F636050"/>
    <w:rsid w:val="5F69359F"/>
    <w:rsid w:val="5F77100B"/>
    <w:rsid w:val="5F791BE7"/>
    <w:rsid w:val="5F8B4BF8"/>
    <w:rsid w:val="5F936274"/>
    <w:rsid w:val="5F9362C3"/>
    <w:rsid w:val="5F955A34"/>
    <w:rsid w:val="5FAB0817"/>
    <w:rsid w:val="5FBC2E55"/>
    <w:rsid w:val="5FC01169"/>
    <w:rsid w:val="5FC344E2"/>
    <w:rsid w:val="5FC37FED"/>
    <w:rsid w:val="5FDD1E49"/>
    <w:rsid w:val="5FE53E1B"/>
    <w:rsid w:val="5FE71A9A"/>
    <w:rsid w:val="5FF35CD6"/>
    <w:rsid w:val="5FF76655"/>
    <w:rsid w:val="600747A3"/>
    <w:rsid w:val="60091233"/>
    <w:rsid w:val="6009184F"/>
    <w:rsid w:val="60127746"/>
    <w:rsid w:val="601C0C74"/>
    <w:rsid w:val="601E7DC7"/>
    <w:rsid w:val="603A6C4E"/>
    <w:rsid w:val="603B75C3"/>
    <w:rsid w:val="6043091E"/>
    <w:rsid w:val="60480A4C"/>
    <w:rsid w:val="606730C1"/>
    <w:rsid w:val="606F7F25"/>
    <w:rsid w:val="60704579"/>
    <w:rsid w:val="60910A76"/>
    <w:rsid w:val="60924859"/>
    <w:rsid w:val="60A41280"/>
    <w:rsid w:val="60A526A8"/>
    <w:rsid w:val="60A562A3"/>
    <w:rsid w:val="60AB5B56"/>
    <w:rsid w:val="60AF790C"/>
    <w:rsid w:val="60B779A8"/>
    <w:rsid w:val="60BA216D"/>
    <w:rsid w:val="60C74A21"/>
    <w:rsid w:val="60C831F4"/>
    <w:rsid w:val="60CE52B9"/>
    <w:rsid w:val="60DA5C59"/>
    <w:rsid w:val="60DB4D7D"/>
    <w:rsid w:val="60FF45EF"/>
    <w:rsid w:val="61090DC1"/>
    <w:rsid w:val="610D46BD"/>
    <w:rsid w:val="611267E4"/>
    <w:rsid w:val="6119753D"/>
    <w:rsid w:val="61204775"/>
    <w:rsid w:val="61286AAD"/>
    <w:rsid w:val="61313EBC"/>
    <w:rsid w:val="61337AFD"/>
    <w:rsid w:val="613442FF"/>
    <w:rsid w:val="6139218F"/>
    <w:rsid w:val="614C05AA"/>
    <w:rsid w:val="61580810"/>
    <w:rsid w:val="61767EA4"/>
    <w:rsid w:val="61787C40"/>
    <w:rsid w:val="61882FBB"/>
    <w:rsid w:val="618A58A7"/>
    <w:rsid w:val="618D4564"/>
    <w:rsid w:val="619204E3"/>
    <w:rsid w:val="61937468"/>
    <w:rsid w:val="619D0AAF"/>
    <w:rsid w:val="619F3565"/>
    <w:rsid w:val="61B44472"/>
    <w:rsid w:val="61B8608C"/>
    <w:rsid w:val="61BD3ED0"/>
    <w:rsid w:val="61C11C97"/>
    <w:rsid w:val="61D411F3"/>
    <w:rsid w:val="61E55B51"/>
    <w:rsid w:val="61E6404C"/>
    <w:rsid w:val="61E873B8"/>
    <w:rsid w:val="61EC4C74"/>
    <w:rsid w:val="61FC40A6"/>
    <w:rsid w:val="62000EFA"/>
    <w:rsid w:val="620F4D53"/>
    <w:rsid w:val="621057B3"/>
    <w:rsid w:val="62134383"/>
    <w:rsid w:val="621513B2"/>
    <w:rsid w:val="62156DDB"/>
    <w:rsid w:val="6217031D"/>
    <w:rsid w:val="62331E6C"/>
    <w:rsid w:val="623D7CE4"/>
    <w:rsid w:val="62501EA0"/>
    <w:rsid w:val="625422E5"/>
    <w:rsid w:val="625F1D02"/>
    <w:rsid w:val="6262026E"/>
    <w:rsid w:val="62662A38"/>
    <w:rsid w:val="62761878"/>
    <w:rsid w:val="6278504E"/>
    <w:rsid w:val="627C659E"/>
    <w:rsid w:val="628721B5"/>
    <w:rsid w:val="628B688F"/>
    <w:rsid w:val="629A65D4"/>
    <w:rsid w:val="62A621CE"/>
    <w:rsid w:val="62BA6FBB"/>
    <w:rsid w:val="62C26076"/>
    <w:rsid w:val="62D37D4A"/>
    <w:rsid w:val="62E2630E"/>
    <w:rsid w:val="62E573E1"/>
    <w:rsid w:val="62F4664A"/>
    <w:rsid w:val="62F85057"/>
    <w:rsid w:val="62FA262E"/>
    <w:rsid w:val="62FA297A"/>
    <w:rsid w:val="62FA7805"/>
    <w:rsid w:val="62FB6C99"/>
    <w:rsid w:val="62FE02AD"/>
    <w:rsid w:val="631A37CF"/>
    <w:rsid w:val="63265FFC"/>
    <w:rsid w:val="632E494D"/>
    <w:rsid w:val="6334245F"/>
    <w:rsid w:val="6343302D"/>
    <w:rsid w:val="634B5A85"/>
    <w:rsid w:val="635B7C9E"/>
    <w:rsid w:val="637667B6"/>
    <w:rsid w:val="63817EB2"/>
    <w:rsid w:val="638A4608"/>
    <w:rsid w:val="638A60C5"/>
    <w:rsid w:val="63A63954"/>
    <w:rsid w:val="63A770F7"/>
    <w:rsid w:val="63A826DC"/>
    <w:rsid w:val="63AB4BBD"/>
    <w:rsid w:val="63BA62C8"/>
    <w:rsid w:val="63C71B22"/>
    <w:rsid w:val="63CA0FEC"/>
    <w:rsid w:val="63D32595"/>
    <w:rsid w:val="63D37B19"/>
    <w:rsid w:val="63E12A82"/>
    <w:rsid w:val="63E37587"/>
    <w:rsid w:val="63E76842"/>
    <w:rsid w:val="63E8362C"/>
    <w:rsid w:val="63EE2B01"/>
    <w:rsid w:val="63FF4117"/>
    <w:rsid w:val="64243A57"/>
    <w:rsid w:val="64261C95"/>
    <w:rsid w:val="642A77F6"/>
    <w:rsid w:val="64351970"/>
    <w:rsid w:val="64414CB3"/>
    <w:rsid w:val="64465CCB"/>
    <w:rsid w:val="64490A76"/>
    <w:rsid w:val="644D4739"/>
    <w:rsid w:val="645B6400"/>
    <w:rsid w:val="64727B57"/>
    <w:rsid w:val="647913C7"/>
    <w:rsid w:val="64945019"/>
    <w:rsid w:val="64964F85"/>
    <w:rsid w:val="64A200D2"/>
    <w:rsid w:val="64A2036D"/>
    <w:rsid w:val="64C31649"/>
    <w:rsid w:val="64C774FB"/>
    <w:rsid w:val="64D27385"/>
    <w:rsid w:val="64D70E77"/>
    <w:rsid w:val="64E108F7"/>
    <w:rsid w:val="64E4430E"/>
    <w:rsid w:val="64F5116B"/>
    <w:rsid w:val="64F63B6A"/>
    <w:rsid w:val="64FB485A"/>
    <w:rsid w:val="6501434F"/>
    <w:rsid w:val="65052950"/>
    <w:rsid w:val="6509767F"/>
    <w:rsid w:val="65176B78"/>
    <w:rsid w:val="65191F58"/>
    <w:rsid w:val="65336587"/>
    <w:rsid w:val="653E3F81"/>
    <w:rsid w:val="6552510A"/>
    <w:rsid w:val="655345F8"/>
    <w:rsid w:val="65614C68"/>
    <w:rsid w:val="656E7B61"/>
    <w:rsid w:val="6574089B"/>
    <w:rsid w:val="6585368D"/>
    <w:rsid w:val="65921AA2"/>
    <w:rsid w:val="65921CC9"/>
    <w:rsid w:val="659249F3"/>
    <w:rsid w:val="65941128"/>
    <w:rsid w:val="65A42D5D"/>
    <w:rsid w:val="65B512EC"/>
    <w:rsid w:val="65D50B3A"/>
    <w:rsid w:val="65DD0DB0"/>
    <w:rsid w:val="65E309BA"/>
    <w:rsid w:val="65E5064A"/>
    <w:rsid w:val="65F84280"/>
    <w:rsid w:val="66054DA2"/>
    <w:rsid w:val="660821AD"/>
    <w:rsid w:val="66086DC4"/>
    <w:rsid w:val="660D5E07"/>
    <w:rsid w:val="66363795"/>
    <w:rsid w:val="663C2308"/>
    <w:rsid w:val="6641669D"/>
    <w:rsid w:val="664A412A"/>
    <w:rsid w:val="664F05D4"/>
    <w:rsid w:val="6651027F"/>
    <w:rsid w:val="66595958"/>
    <w:rsid w:val="66680388"/>
    <w:rsid w:val="666F1DE3"/>
    <w:rsid w:val="66743C40"/>
    <w:rsid w:val="667851A8"/>
    <w:rsid w:val="66865B8F"/>
    <w:rsid w:val="668673D7"/>
    <w:rsid w:val="66882C3A"/>
    <w:rsid w:val="669725E5"/>
    <w:rsid w:val="669F27A2"/>
    <w:rsid w:val="66C764F3"/>
    <w:rsid w:val="66CC2D91"/>
    <w:rsid w:val="66CF77FB"/>
    <w:rsid w:val="66FC5136"/>
    <w:rsid w:val="670855CA"/>
    <w:rsid w:val="670901AC"/>
    <w:rsid w:val="670A7CFD"/>
    <w:rsid w:val="67182B4E"/>
    <w:rsid w:val="671D183F"/>
    <w:rsid w:val="673945BE"/>
    <w:rsid w:val="67477D76"/>
    <w:rsid w:val="675F072A"/>
    <w:rsid w:val="67614492"/>
    <w:rsid w:val="676A30F0"/>
    <w:rsid w:val="677449DD"/>
    <w:rsid w:val="677B3BB8"/>
    <w:rsid w:val="67805064"/>
    <w:rsid w:val="67862556"/>
    <w:rsid w:val="67921A29"/>
    <w:rsid w:val="67AF5F87"/>
    <w:rsid w:val="67CE499C"/>
    <w:rsid w:val="67ED11DA"/>
    <w:rsid w:val="67F97E2C"/>
    <w:rsid w:val="68120826"/>
    <w:rsid w:val="68143178"/>
    <w:rsid w:val="68146AF0"/>
    <w:rsid w:val="68191CEE"/>
    <w:rsid w:val="681C4219"/>
    <w:rsid w:val="6830403E"/>
    <w:rsid w:val="68494C73"/>
    <w:rsid w:val="684E5280"/>
    <w:rsid w:val="686F54F7"/>
    <w:rsid w:val="68703A89"/>
    <w:rsid w:val="68736734"/>
    <w:rsid w:val="68764983"/>
    <w:rsid w:val="687A0832"/>
    <w:rsid w:val="68886988"/>
    <w:rsid w:val="688B3FC1"/>
    <w:rsid w:val="688E68BE"/>
    <w:rsid w:val="689A0B09"/>
    <w:rsid w:val="68A92F07"/>
    <w:rsid w:val="68AA0574"/>
    <w:rsid w:val="68AB7900"/>
    <w:rsid w:val="68AF6139"/>
    <w:rsid w:val="68B825F5"/>
    <w:rsid w:val="68BE568E"/>
    <w:rsid w:val="68D40505"/>
    <w:rsid w:val="68DD12F0"/>
    <w:rsid w:val="68E27F24"/>
    <w:rsid w:val="68E3675F"/>
    <w:rsid w:val="68F901AD"/>
    <w:rsid w:val="690C3919"/>
    <w:rsid w:val="69296E90"/>
    <w:rsid w:val="69410B2F"/>
    <w:rsid w:val="69473CEF"/>
    <w:rsid w:val="694E761A"/>
    <w:rsid w:val="69596F9E"/>
    <w:rsid w:val="695D5033"/>
    <w:rsid w:val="696B483B"/>
    <w:rsid w:val="696E6CD6"/>
    <w:rsid w:val="697370DF"/>
    <w:rsid w:val="698060B5"/>
    <w:rsid w:val="69810522"/>
    <w:rsid w:val="69855794"/>
    <w:rsid w:val="69912070"/>
    <w:rsid w:val="699A135A"/>
    <w:rsid w:val="699E6028"/>
    <w:rsid w:val="69AE1EC6"/>
    <w:rsid w:val="69C42502"/>
    <w:rsid w:val="69D9209B"/>
    <w:rsid w:val="69E3448F"/>
    <w:rsid w:val="69E46644"/>
    <w:rsid w:val="69F26749"/>
    <w:rsid w:val="69FF2EAC"/>
    <w:rsid w:val="6A18300E"/>
    <w:rsid w:val="6A1914E1"/>
    <w:rsid w:val="6A1A0B0D"/>
    <w:rsid w:val="6A1D5557"/>
    <w:rsid w:val="6A290E39"/>
    <w:rsid w:val="6A2C5CCF"/>
    <w:rsid w:val="6A410F3E"/>
    <w:rsid w:val="6A4D6FDE"/>
    <w:rsid w:val="6A5A4B58"/>
    <w:rsid w:val="6A622155"/>
    <w:rsid w:val="6A683E40"/>
    <w:rsid w:val="6A794FDE"/>
    <w:rsid w:val="6A81438B"/>
    <w:rsid w:val="6A896006"/>
    <w:rsid w:val="6A8F6CF6"/>
    <w:rsid w:val="6A9B7513"/>
    <w:rsid w:val="6AA676AB"/>
    <w:rsid w:val="6AB61964"/>
    <w:rsid w:val="6AE0238F"/>
    <w:rsid w:val="6AEB7D56"/>
    <w:rsid w:val="6AEE4AA1"/>
    <w:rsid w:val="6AF528C8"/>
    <w:rsid w:val="6B022560"/>
    <w:rsid w:val="6B1C3291"/>
    <w:rsid w:val="6B247DDB"/>
    <w:rsid w:val="6B3C171C"/>
    <w:rsid w:val="6B4362DF"/>
    <w:rsid w:val="6B4A4137"/>
    <w:rsid w:val="6B4A4702"/>
    <w:rsid w:val="6B50030B"/>
    <w:rsid w:val="6B504EF3"/>
    <w:rsid w:val="6B531325"/>
    <w:rsid w:val="6B546F14"/>
    <w:rsid w:val="6B5C2455"/>
    <w:rsid w:val="6B604690"/>
    <w:rsid w:val="6B662A89"/>
    <w:rsid w:val="6B680BAF"/>
    <w:rsid w:val="6B7F320A"/>
    <w:rsid w:val="6B816D1B"/>
    <w:rsid w:val="6B821DD1"/>
    <w:rsid w:val="6B886ACB"/>
    <w:rsid w:val="6B99149D"/>
    <w:rsid w:val="6B9A6BDE"/>
    <w:rsid w:val="6B9E618F"/>
    <w:rsid w:val="6BC70F58"/>
    <w:rsid w:val="6BD44496"/>
    <w:rsid w:val="6BFD2F22"/>
    <w:rsid w:val="6BFD4879"/>
    <w:rsid w:val="6C085419"/>
    <w:rsid w:val="6C2E4DB2"/>
    <w:rsid w:val="6C307D28"/>
    <w:rsid w:val="6C31397A"/>
    <w:rsid w:val="6C353285"/>
    <w:rsid w:val="6C4775B2"/>
    <w:rsid w:val="6C4F3A3C"/>
    <w:rsid w:val="6C6F424F"/>
    <w:rsid w:val="6C733D3D"/>
    <w:rsid w:val="6C7635B9"/>
    <w:rsid w:val="6C897464"/>
    <w:rsid w:val="6C907F72"/>
    <w:rsid w:val="6C994030"/>
    <w:rsid w:val="6CA40752"/>
    <w:rsid w:val="6CC6045D"/>
    <w:rsid w:val="6CCF1591"/>
    <w:rsid w:val="6CCF41D4"/>
    <w:rsid w:val="6CCF7352"/>
    <w:rsid w:val="6CDB1F80"/>
    <w:rsid w:val="6CE15C09"/>
    <w:rsid w:val="6CEC2A3A"/>
    <w:rsid w:val="6D1E0AEF"/>
    <w:rsid w:val="6D26511D"/>
    <w:rsid w:val="6D33231B"/>
    <w:rsid w:val="6D535020"/>
    <w:rsid w:val="6D5A1F4C"/>
    <w:rsid w:val="6D5F6DC8"/>
    <w:rsid w:val="6D6B753F"/>
    <w:rsid w:val="6D912CFE"/>
    <w:rsid w:val="6D926710"/>
    <w:rsid w:val="6DA24504"/>
    <w:rsid w:val="6DA80C31"/>
    <w:rsid w:val="6DAE5EBE"/>
    <w:rsid w:val="6DC43F8D"/>
    <w:rsid w:val="6DC44E36"/>
    <w:rsid w:val="6DD23840"/>
    <w:rsid w:val="6DD47517"/>
    <w:rsid w:val="6DD512ED"/>
    <w:rsid w:val="6DE1146A"/>
    <w:rsid w:val="6DF82737"/>
    <w:rsid w:val="6E3E0D3C"/>
    <w:rsid w:val="6E4362FC"/>
    <w:rsid w:val="6E4419BB"/>
    <w:rsid w:val="6E4C15D8"/>
    <w:rsid w:val="6E557B10"/>
    <w:rsid w:val="6E5F2C6D"/>
    <w:rsid w:val="6E61463C"/>
    <w:rsid w:val="6E6D64F0"/>
    <w:rsid w:val="6E793AB8"/>
    <w:rsid w:val="6E9F295B"/>
    <w:rsid w:val="6EA37EE9"/>
    <w:rsid w:val="6EAA36A7"/>
    <w:rsid w:val="6EAA7659"/>
    <w:rsid w:val="6EB24F70"/>
    <w:rsid w:val="6ECC76A7"/>
    <w:rsid w:val="6ED25178"/>
    <w:rsid w:val="6ED86C5B"/>
    <w:rsid w:val="6EE7024D"/>
    <w:rsid w:val="6EEB6BAB"/>
    <w:rsid w:val="6EED4691"/>
    <w:rsid w:val="6EFB6BC6"/>
    <w:rsid w:val="6EFE0309"/>
    <w:rsid w:val="6F02395E"/>
    <w:rsid w:val="6F0E6C06"/>
    <w:rsid w:val="6F0F1BC7"/>
    <w:rsid w:val="6F131AF7"/>
    <w:rsid w:val="6F1B215E"/>
    <w:rsid w:val="6F202F41"/>
    <w:rsid w:val="6F224150"/>
    <w:rsid w:val="6F2B7334"/>
    <w:rsid w:val="6F2F5CAC"/>
    <w:rsid w:val="6F3E28EB"/>
    <w:rsid w:val="6F433D24"/>
    <w:rsid w:val="6F4A418F"/>
    <w:rsid w:val="6F61159C"/>
    <w:rsid w:val="6F741428"/>
    <w:rsid w:val="6F764476"/>
    <w:rsid w:val="6F77567F"/>
    <w:rsid w:val="6F7C2B68"/>
    <w:rsid w:val="6F7D3647"/>
    <w:rsid w:val="6F7E5639"/>
    <w:rsid w:val="6F8153D5"/>
    <w:rsid w:val="6F834759"/>
    <w:rsid w:val="6F8C4DB9"/>
    <w:rsid w:val="6F8D1193"/>
    <w:rsid w:val="6F9F709B"/>
    <w:rsid w:val="6FA05D7F"/>
    <w:rsid w:val="6FA420E7"/>
    <w:rsid w:val="6FB50862"/>
    <w:rsid w:val="6FBB4E5C"/>
    <w:rsid w:val="6FE535B7"/>
    <w:rsid w:val="6FF23F3A"/>
    <w:rsid w:val="6FF7031F"/>
    <w:rsid w:val="6FFD3769"/>
    <w:rsid w:val="6FFE5C40"/>
    <w:rsid w:val="70065186"/>
    <w:rsid w:val="700779BA"/>
    <w:rsid w:val="701B627A"/>
    <w:rsid w:val="701E425E"/>
    <w:rsid w:val="70291255"/>
    <w:rsid w:val="70307113"/>
    <w:rsid w:val="70344DC9"/>
    <w:rsid w:val="703534E1"/>
    <w:rsid w:val="703A4681"/>
    <w:rsid w:val="703B6CE6"/>
    <w:rsid w:val="704237C2"/>
    <w:rsid w:val="70633451"/>
    <w:rsid w:val="707178DB"/>
    <w:rsid w:val="70741DA4"/>
    <w:rsid w:val="70890A7A"/>
    <w:rsid w:val="70A40957"/>
    <w:rsid w:val="70A87FE7"/>
    <w:rsid w:val="70A95865"/>
    <w:rsid w:val="70B05D9A"/>
    <w:rsid w:val="70B51446"/>
    <w:rsid w:val="70D22C67"/>
    <w:rsid w:val="70DC1018"/>
    <w:rsid w:val="70E54E73"/>
    <w:rsid w:val="70FC350F"/>
    <w:rsid w:val="70FE2B8F"/>
    <w:rsid w:val="70FE448F"/>
    <w:rsid w:val="71013EEA"/>
    <w:rsid w:val="71082C77"/>
    <w:rsid w:val="71157051"/>
    <w:rsid w:val="711B7489"/>
    <w:rsid w:val="71215709"/>
    <w:rsid w:val="712835BB"/>
    <w:rsid w:val="71436554"/>
    <w:rsid w:val="714C3681"/>
    <w:rsid w:val="717F325B"/>
    <w:rsid w:val="7180098A"/>
    <w:rsid w:val="7182183A"/>
    <w:rsid w:val="718D7764"/>
    <w:rsid w:val="71952CF0"/>
    <w:rsid w:val="7197059F"/>
    <w:rsid w:val="71A35F4F"/>
    <w:rsid w:val="71A8173F"/>
    <w:rsid w:val="71B30968"/>
    <w:rsid w:val="71C2657D"/>
    <w:rsid w:val="71C41835"/>
    <w:rsid w:val="71C85D97"/>
    <w:rsid w:val="71CD32A7"/>
    <w:rsid w:val="71ED458B"/>
    <w:rsid w:val="71FC6FDA"/>
    <w:rsid w:val="71FE77E7"/>
    <w:rsid w:val="722B2AC5"/>
    <w:rsid w:val="722D7C29"/>
    <w:rsid w:val="723C30FC"/>
    <w:rsid w:val="72415C6E"/>
    <w:rsid w:val="724207EC"/>
    <w:rsid w:val="72456FFE"/>
    <w:rsid w:val="725919A2"/>
    <w:rsid w:val="72603ACB"/>
    <w:rsid w:val="72610A66"/>
    <w:rsid w:val="72691324"/>
    <w:rsid w:val="7274361A"/>
    <w:rsid w:val="729B48C1"/>
    <w:rsid w:val="72A4498D"/>
    <w:rsid w:val="72A77D1E"/>
    <w:rsid w:val="72AE0FB2"/>
    <w:rsid w:val="72D517CB"/>
    <w:rsid w:val="72D925C4"/>
    <w:rsid w:val="72F51376"/>
    <w:rsid w:val="730A746E"/>
    <w:rsid w:val="73242CE1"/>
    <w:rsid w:val="73292FAE"/>
    <w:rsid w:val="734434BF"/>
    <w:rsid w:val="736410F2"/>
    <w:rsid w:val="7379550F"/>
    <w:rsid w:val="737D689B"/>
    <w:rsid w:val="73A53CE8"/>
    <w:rsid w:val="73A6170B"/>
    <w:rsid w:val="73B033FC"/>
    <w:rsid w:val="73B579E7"/>
    <w:rsid w:val="73BD2DE2"/>
    <w:rsid w:val="73C146FD"/>
    <w:rsid w:val="73C7103D"/>
    <w:rsid w:val="73E87BB6"/>
    <w:rsid w:val="73F21654"/>
    <w:rsid w:val="74093B67"/>
    <w:rsid w:val="74121AB7"/>
    <w:rsid w:val="74137EFF"/>
    <w:rsid w:val="741A726A"/>
    <w:rsid w:val="742817A0"/>
    <w:rsid w:val="7434789C"/>
    <w:rsid w:val="743620AB"/>
    <w:rsid w:val="743D53EC"/>
    <w:rsid w:val="744A0F12"/>
    <w:rsid w:val="744D5A84"/>
    <w:rsid w:val="746B2E35"/>
    <w:rsid w:val="74763712"/>
    <w:rsid w:val="74822CE1"/>
    <w:rsid w:val="748527D2"/>
    <w:rsid w:val="748F74EF"/>
    <w:rsid w:val="74925631"/>
    <w:rsid w:val="74BA2FC6"/>
    <w:rsid w:val="74C13C80"/>
    <w:rsid w:val="74C168CD"/>
    <w:rsid w:val="74C17C4F"/>
    <w:rsid w:val="74D07EF1"/>
    <w:rsid w:val="74D33D47"/>
    <w:rsid w:val="74DE754D"/>
    <w:rsid w:val="74E34D95"/>
    <w:rsid w:val="74E55A60"/>
    <w:rsid w:val="74F619EA"/>
    <w:rsid w:val="75064AAE"/>
    <w:rsid w:val="750A47B1"/>
    <w:rsid w:val="750F15BE"/>
    <w:rsid w:val="75130F44"/>
    <w:rsid w:val="751D6D4F"/>
    <w:rsid w:val="753211D7"/>
    <w:rsid w:val="75340035"/>
    <w:rsid w:val="7544443B"/>
    <w:rsid w:val="7559062E"/>
    <w:rsid w:val="755C1784"/>
    <w:rsid w:val="75713E37"/>
    <w:rsid w:val="757147B4"/>
    <w:rsid w:val="757A1C0A"/>
    <w:rsid w:val="75802507"/>
    <w:rsid w:val="758B2E14"/>
    <w:rsid w:val="75905155"/>
    <w:rsid w:val="7592615B"/>
    <w:rsid w:val="759F7ACB"/>
    <w:rsid w:val="75AE5C2C"/>
    <w:rsid w:val="75F263DE"/>
    <w:rsid w:val="75FA240A"/>
    <w:rsid w:val="75FF7929"/>
    <w:rsid w:val="760745B0"/>
    <w:rsid w:val="760D2474"/>
    <w:rsid w:val="760E686D"/>
    <w:rsid w:val="76204CD2"/>
    <w:rsid w:val="76441071"/>
    <w:rsid w:val="764D5571"/>
    <w:rsid w:val="76535E73"/>
    <w:rsid w:val="766672B0"/>
    <w:rsid w:val="766C65C4"/>
    <w:rsid w:val="76702304"/>
    <w:rsid w:val="76723CFA"/>
    <w:rsid w:val="76730F51"/>
    <w:rsid w:val="76B03A42"/>
    <w:rsid w:val="76B3605A"/>
    <w:rsid w:val="76BF5471"/>
    <w:rsid w:val="76CD1140"/>
    <w:rsid w:val="76CE0ED1"/>
    <w:rsid w:val="76CF00C8"/>
    <w:rsid w:val="76D11CF2"/>
    <w:rsid w:val="76E25CB9"/>
    <w:rsid w:val="76F109F3"/>
    <w:rsid w:val="77042E25"/>
    <w:rsid w:val="771677B0"/>
    <w:rsid w:val="77173EAC"/>
    <w:rsid w:val="77183344"/>
    <w:rsid w:val="773641E5"/>
    <w:rsid w:val="774D3E2D"/>
    <w:rsid w:val="774F4FD9"/>
    <w:rsid w:val="7756042F"/>
    <w:rsid w:val="77611B60"/>
    <w:rsid w:val="7761204D"/>
    <w:rsid w:val="77766032"/>
    <w:rsid w:val="7782124A"/>
    <w:rsid w:val="779544C6"/>
    <w:rsid w:val="77A30E07"/>
    <w:rsid w:val="77B330D5"/>
    <w:rsid w:val="77B56A42"/>
    <w:rsid w:val="77C17FEB"/>
    <w:rsid w:val="77C74C2C"/>
    <w:rsid w:val="77CE5BE1"/>
    <w:rsid w:val="77E34ABA"/>
    <w:rsid w:val="77F03FDA"/>
    <w:rsid w:val="77F061DD"/>
    <w:rsid w:val="77F75794"/>
    <w:rsid w:val="780254D2"/>
    <w:rsid w:val="781667CA"/>
    <w:rsid w:val="781D3DAA"/>
    <w:rsid w:val="782104F9"/>
    <w:rsid w:val="78416A70"/>
    <w:rsid w:val="78460F8B"/>
    <w:rsid w:val="784D29EB"/>
    <w:rsid w:val="78690E08"/>
    <w:rsid w:val="786F6665"/>
    <w:rsid w:val="78810460"/>
    <w:rsid w:val="788259A6"/>
    <w:rsid w:val="78844251"/>
    <w:rsid w:val="789712D3"/>
    <w:rsid w:val="78A10E53"/>
    <w:rsid w:val="78A4249C"/>
    <w:rsid w:val="78AE785F"/>
    <w:rsid w:val="78B06154"/>
    <w:rsid w:val="78B77E15"/>
    <w:rsid w:val="78ED38EB"/>
    <w:rsid w:val="78F22D42"/>
    <w:rsid w:val="78F86174"/>
    <w:rsid w:val="790E7239"/>
    <w:rsid w:val="792755DC"/>
    <w:rsid w:val="792A7CC8"/>
    <w:rsid w:val="79402E8A"/>
    <w:rsid w:val="794514C8"/>
    <w:rsid w:val="796A6A56"/>
    <w:rsid w:val="79901F56"/>
    <w:rsid w:val="79A0094C"/>
    <w:rsid w:val="79A9019E"/>
    <w:rsid w:val="79B747EC"/>
    <w:rsid w:val="79B8083C"/>
    <w:rsid w:val="79BD4970"/>
    <w:rsid w:val="79BD717A"/>
    <w:rsid w:val="79C75C56"/>
    <w:rsid w:val="79CC4773"/>
    <w:rsid w:val="79F1574D"/>
    <w:rsid w:val="79F560D5"/>
    <w:rsid w:val="7A0471C8"/>
    <w:rsid w:val="7A0C5059"/>
    <w:rsid w:val="7A1523EA"/>
    <w:rsid w:val="7A1B5FDB"/>
    <w:rsid w:val="7A1F42F7"/>
    <w:rsid w:val="7A3051A4"/>
    <w:rsid w:val="7A360B8B"/>
    <w:rsid w:val="7A3D67BD"/>
    <w:rsid w:val="7A3E3B4E"/>
    <w:rsid w:val="7A3E4994"/>
    <w:rsid w:val="7A500745"/>
    <w:rsid w:val="7A724452"/>
    <w:rsid w:val="7A784587"/>
    <w:rsid w:val="7A7A2514"/>
    <w:rsid w:val="7A7E01F8"/>
    <w:rsid w:val="7A847AAD"/>
    <w:rsid w:val="7A8578A6"/>
    <w:rsid w:val="7A861298"/>
    <w:rsid w:val="7A86136F"/>
    <w:rsid w:val="7A927BD1"/>
    <w:rsid w:val="7A931A00"/>
    <w:rsid w:val="7AAF24B0"/>
    <w:rsid w:val="7AB42DA3"/>
    <w:rsid w:val="7AB979D1"/>
    <w:rsid w:val="7AC31AD3"/>
    <w:rsid w:val="7AE279DE"/>
    <w:rsid w:val="7AF3048C"/>
    <w:rsid w:val="7B066428"/>
    <w:rsid w:val="7B117CCD"/>
    <w:rsid w:val="7B133142"/>
    <w:rsid w:val="7B134300"/>
    <w:rsid w:val="7B22521E"/>
    <w:rsid w:val="7B263D55"/>
    <w:rsid w:val="7B281992"/>
    <w:rsid w:val="7B354B8E"/>
    <w:rsid w:val="7B430CF1"/>
    <w:rsid w:val="7B4612E8"/>
    <w:rsid w:val="7B480A80"/>
    <w:rsid w:val="7B486D67"/>
    <w:rsid w:val="7B4A6528"/>
    <w:rsid w:val="7B5D09C5"/>
    <w:rsid w:val="7B6B5909"/>
    <w:rsid w:val="7B847A30"/>
    <w:rsid w:val="7B8D7A28"/>
    <w:rsid w:val="7B9A7DF7"/>
    <w:rsid w:val="7B9E7B03"/>
    <w:rsid w:val="7BA175B6"/>
    <w:rsid w:val="7BB4200A"/>
    <w:rsid w:val="7BBD0C0A"/>
    <w:rsid w:val="7BC96BBE"/>
    <w:rsid w:val="7BCF3BA5"/>
    <w:rsid w:val="7BE53837"/>
    <w:rsid w:val="7BE60AE4"/>
    <w:rsid w:val="7BE9311A"/>
    <w:rsid w:val="7BF37C8D"/>
    <w:rsid w:val="7C1872B1"/>
    <w:rsid w:val="7C1B1AB2"/>
    <w:rsid w:val="7C1E2225"/>
    <w:rsid w:val="7C2C76B2"/>
    <w:rsid w:val="7C2E7930"/>
    <w:rsid w:val="7C3537CC"/>
    <w:rsid w:val="7C455F5C"/>
    <w:rsid w:val="7C4708B2"/>
    <w:rsid w:val="7C504E5F"/>
    <w:rsid w:val="7C605706"/>
    <w:rsid w:val="7C7F149A"/>
    <w:rsid w:val="7C7F6464"/>
    <w:rsid w:val="7C856D5C"/>
    <w:rsid w:val="7CA507B1"/>
    <w:rsid w:val="7CB64F9C"/>
    <w:rsid w:val="7CC16FF5"/>
    <w:rsid w:val="7CC47560"/>
    <w:rsid w:val="7CCC2DCC"/>
    <w:rsid w:val="7CCE614A"/>
    <w:rsid w:val="7CDA5697"/>
    <w:rsid w:val="7CE264F3"/>
    <w:rsid w:val="7CE72722"/>
    <w:rsid w:val="7CF85C26"/>
    <w:rsid w:val="7CFA4D3A"/>
    <w:rsid w:val="7D004E05"/>
    <w:rsid w:val="7D352620"/>
    <w:rsid w:val="7D3E56FD"/>
    <w:rsid w:val="7D4E5163"/>
    <w:rsid w:val="7D5E0064"/>
    <w:rsid w:val="7D7B2DE3"/>
    <w:rsid w:val="7D8675B9"/>
    <w:rsid w:val="7D93256E"/>
    <w:rsid w:val="7D96482C"/>
    <w:rsid w:val="7DB12889"/>
    <w:rsid w:val="7DBC2289"/>
    <w:rsid w:val="7DE37223"/>
    <w:rsid w:val="7DE642E1"/>
    <w:rsid w:val="7DEF0D9B"/>
    <w:rsid w:val="7DFB4817"/>
    <w:rsid w:val="7E0624AF"/>
    <w:rsid w:val="7E0761C6"/>
    <w:rsid w:val="7E0A5E63"/>
    <w:rsid w:val="7E0B2A9C"/>
    <w:rsid w:val="7E0B4774"/>
    <w:rsid w:val="7E160002"/>
    <w:rsid w:val="7E374919"/>
    <w:rsid w:val="7E3A400A"/>
    <w:rsid w:val="7E3B6107"/>
    <w:rsid w:val="7E4037BC"/>
    <w:rsid w:val="7E450600"/>
    <w:rsid w:val="7E480A69"/>
    <w:rsid w:val="7E5704FB"/>
    <w:rsid w:val="7E5E656D"/>
    <w:rsid w:val="7E6C3360"/>
    <w:rsid w:val="7E7933A7"/>
    <w:rsid w:val="7E7F3C3C"/>
    <w:rsid w:val="7E8340C9"/>
    <w:rsid w:val="7E8E1568"/>
    <w:rsid w:val="7E9830DA"/>
    <w:rsid w:val="7EAD3051"/>
    <w:rsid w:val="7EBA0464"/>
    <w:rsid w:val="7EC77A6B"/>
    <w:rsid w:val="7EC81F3C"/>
    <w:rsid w:val="7EC93614"/>
    <w:rsid w:val="7ECF3225"/>
    <w:rsid w:val="7EE277FD"/>
    <w:rsid w:val="7EEA2E2A"/>
    <w:rsid w:val="7F100CBD"/>
    <w:rsid w:val="7F166366"/>
    <w:rsid w:val="7F277D80"/>
    <w:rsid w:val="7F343335"/>
    <w:rsid w:val="7F38386B"/>
    <w:rsid w:val="7F3B19CE"/>
    <w:rsid w:val="7F421ABF"/>
    <w:rsid w:val="7F4A5C9B"/>
    <w:rsid w:val="7F501C36"/>
    <w:rsid w:val="7F5D46B5"/>
    <w:rsid w:val="7F6455AA"/>
    <w:rsid w:val="7F853B09"/>
    <w:rsid w:val="7F8D0664"/>
    <w:rsid w:val="7FA624BA"/>
    <w:rsid w:val="7FB126CD"/>
    <w:rsid w:val="7FB46A34"/>
    <w:rsid w:val="7FB46B49"/>
    <w:rsid w:val="7FE16F83"/>
    <w:rsid w:val="7FE42AB6"/>
    <w:rsid w:val="7FF6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106"/>
    <w:qFormat/>
    <w:uiPriority w:val="0"/>
    <w:pPr>
      <w:keepNext/>
      <w:keepLines/>
      <w:spacing w:line="576" w:lineRule="auto"/>
      <w:outlineLvl w:val="0"/>
    </w:pPr>
    <w:rPr>
      <w:rFonts w:eastAsia="宋体"/>
      <w:b/>
      <w:bCs/>
      <w:kern w:val="44"/>
      <w:sz w:val="44"/>
      <w:szCs w:val="44"/>
    </w:rPr>
  </w:style>
  <w:style w:type="paragraph" w:styleId="3">
    <w:name w:val="heading 2"/>
    <w:basedOn w:val="1"/>
    <w:next w:val="1"/>
    <w:link w:val="133"/>
    <w:unhideWhenUsed/>
    <w:qFormat/>
    <w:uiPriority w:val="0"/>
    <w:pPr>
      <w:keepNext/>
      <w:keepLines/>
      <w:spacing w:line="413" w:lineRule="auto"/>
      <w:outlineLvl w:val="1"/>
    </w:pPr>
    <w:rPr>
      <w:rFonts w:ascii="Arial" w:hAnsi="Arial" w:eastAsia="黑体"/>
      <w:b/>
      <w:bCs/>
      <w:sz w:val="32"/>
      <w:szCs w:val="32"/>
    </w:rPr>
  </w:style>
  <w:style w:type="paragraph" w:styleId="4">
    <w:name w:val="heading 3"/>
    <w:basedOn w:val="1"/>
    <w:next w:val="1"/>
    <w:link w:val="120"/>
    <w:qFormat/>
    <w:uiPriority w:val="0"/>
    <w:pPr>
      <w:numPr>
        <w:ilvl w:val="2"/>
        <w:numId w:val="1"/>
      </w:numPr>
      <w:adjustRightInd w:val="0"/>
      <w:spacing w:beforeLines="50" w:afterLines="50"/>
      <w:jc w:val="left"/>
      <w:outlineLvl w:val="2"/>
    </w:pPr>
    <w:rPr>
      <w:rFonts w:ascii="Times New Roman" w:hAnsi="Times New Roman"/>
      <w:b/>
      <w:bCs/>
      <w:sz w:val="32"/>
      <w:szCs w:val="32"/>
    </w:rPr>
  </w:style>
  <w:style w:type="paragraph" w:styleId="5">
    <w:name w:val="heading 4"/>
    <w:basedOn w:val="1"/>
    <w:next w:val="1"/>
    <w:qFormat/>
    <w:uiPriority w:val="0"/>
    <w:pPr>
      <w:keepNext/>
      <w:keepLines/>
      <w:widowControl/>
      <w:numPr>
        <w:ilvl w:val="3"/>
        <w:numId w:val="1"/>
      </w:numPr>
      <w:adjustRightInd w:val="0"/>
      <w:spacing w:before="120" w:after="120"/>
      <w:jc w:val="left"/>
      <w:outlineLvl w:val="3"/>
    </w:pPr>
    <w:rPr>
      <w:rFonts w:ascii="Arial" w:hAnsi="Arial"/>
      <w:b/>
      <w:bCs/>
      <w:sz w:val="30"/>
      <w:szCs w:val="28"/>
    </w:rPr>
  </w:style>
  <w:style w:type="paragraph" w:styleId="6">
    <w:name w:val="heading 5"/>
    <w:basedOn w:val="1"/>
    <w:next w:val="1"/>
    <w:link w:val="102"/>
    <w:unhideWhenUsed/>
    <w:qFormat/>
    <w:uiPriority w:val="0"/>
    <w:pPr>
      <w:keepNext/>
      <w:keepLines/>
      <w:widowControl/>
      <w:spacing w:before="120" w:after="120" w:line="360" w:lineRule="auto"/>
      <w:ind w:firstLine="499"/>
      <w:jc w:val="left"/>
      <w:outlineLvl w:val="4"/>
    </w:pPr>
    <w:rPr>
      <w:rFonts w:ascii="宋体" w:hAnsi="宋体"/>
      <w:b/>
      <w:kern w:val="0"/>
      <w:szCs w:val="20"/>
    </w:rPr>
  </w:style>
  <w:style w:type="paragraph" w:styleId="7">
    <w:name w:val="heading 6"/>
    <w:basedOn w:val="1"/>
    <w:next w:val="1"/>
    <w:semiHidden/>
    <w:unhideWhenUsed/>
    <w:qFormat/>
    <w:uiPriority w:val="0"/>
    <w:pPr>
      <w:spacing w:beforeAutospacing="1" w:afterAutospacing="1"/>
      <w:jc w:val="left"/>
      <w:outlineLvl w:val="5"/>
    </w:pPr>
    <w:rPr>
      <w:rFonts w:hint="eastAsia" w:ascii="宋体" w:hAnsi="宋体" w:eastAsia="宋体" w:cs="Times New Roman"/>
      <w:b/>
      <w:bCs/>
      <w:kern w:val="0"/>
      <w:sz w:val="15"/>
      <w:szCs w:val="15"/>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Calibri" w:hAnsi="Calibri" w:eastAsia="宋体" w:cs="Times New Roman"/>
      <w:sz w:val="21"/>
    </w:rPr>
  </w:style>
  <w:style w:type="paragraph" w:styleId="9">
    <w:name w:val="table of authorities"/>
    <w:basedOn w:val="1"/>
    <w:next w:val="1"/>
    <w:qFormat/>
    <w:uiPriority w:val="0"/>
    <w:pPr>
      <w:ind w:left="420" w:leftChars="100"/>
    </w:pPr>
  </w:style>
  <w:style w:type="paragraph" w:styleId="10">
    <w:name w:val="Normal Indent"/>
    <w:basedOn w:val="1"/>
    <w:qFormat/>
    <w:uiPriority w:val="0"/>
    <w:pPr>
      <w:ind w:firstLine="420"/>
    </w:pPr>
    <w:rPr>
      <w:rFonts w:eastAsia="宋体"/>
      <w:sz w:val="21"/>
      <w:szCs w:val="20"/>
    </w:rPr>
  </w:style>
  <w:style w:type="paragraph" w:styleId="11">
    <w:name w:val="annotation text"/>
    <w:basedOn w:val="1"/>
    <w:link w:val="91"/>
    <w:qFormat/>
    <w:uiPriority w:val="0"/>
    <w:pPr>
      <w:jc w:val="left"/>
    </w:pPr>
  </w:style>
  <w:style w:type="paragraph" w:styleId="12">
    <w:name w:val="Body Text 3"/>
    <w:basedOn w:val="1"/>
    <w:link w:val="123"/>
    <w:qFormat/>
    <w:uiPriority w:val="0"/>
    <w:rPr>
      <w:rFonts w:ascii="宋体" w:hAnsi="Times New Roman" w:eastAsia="宋体" w:cs="Times New Roman"/>
      <w:kern w:val="0"/>
      <w:szCs w:val="20"/>
    </w:rPr>
  </w:style>
  <w:style w:type="paragraph" w:styleId="13">
    <w:name w:val="Body Text"/>
    <w:basedOn w:val="1"/>
    <w:next w:val="1"/>
    <w:link w:val="115"/>
    <w:qFormat/>
    <w:uiPriority w:val="0"/>
  </w:style>
  <w:style w:type="paragraph" w:styleId="14">
    <w:name w:val="Body Text Indent"/>
    <w:basedOn w:val="1"/>
    <w:qFormat/>
    <w:uiPriority w:val="0"/>
    <w:pPr>
      <w:spacing w:line="640" w:lineRule="exact"/>
      <w:ind w:firstLine="585"/>
    </w:pPr>
    <w:rPr>
      <w:rFonts w:ascii="楷体_GB2312" w:eastAsia="楷体_GB2312"/>
      <w:sz w:val="32"/>
    </w:rPr>
  </w:style>
  <w:style w:type="paragraph" w:styleId="15">
    <w:name w:val="toc 5"/>
    <w:basedOn w:val="1"/>
    <w:next w:val="1"/>
    <w:unhideWhenUsed/>
    <w:qFormat/>
    <w:uiPriority w:val="39"/>
    <w:pPr>
      <w:ind w:left="1680" w:leftChars="800"/>
    </w:pPr>
    <w:rPr>
      <w:rFonts w:ascii="Calibri" w:hAnsi="Calibri" w:eastAsia="宋体" w:cs="Times New Roman"/>
      <w:sz w:val="21"/>
    </w:rPr>
  </w:style>
  <w:style w:type="paragraph" w:styleId="16">
    <w:name w:val="toc 3"/>
    <w:basedOn w:val="1"/>
    <w:next w:val="1"/>
    <w:qFormat/>
    <w:uiPriority w:val="39"/>
    <w:pPr>
      <w:jc w:val="left"/>
    </w:pPr>
    <w:rPr>
      <w:rFonts w:ascii="Times New Roman" w:hAnsi="Times New Roman" w:eastAsia="华文细黑" w:cs="Times New Roman"/>
      <w:iCs/>
      <w:sz w:val="22"/>
      <w:szCs w:val="20"/>
    </w:rPr>
  </w:style>
  <w:style w:type="paragraph" w:styleId="17">
    <w:name w:val="Plain Text"/>
    <w:basedOn w:val="1"/>
    <w:qFormat/>
    <w:uiPriority w:val="0"/>
    <w:rPr>
      <w:rFonts w:ascii="宋体" w:hAnsi="Courier New" w:cs="Courier New"/>
      <w:szCs w:val="21"/>
    </w:rPr>
  </w:style>
  <w:style w:type="paragraph" w:styleId="18">
    <w:name w:val="toc 8"/>
    <w:basedOn w:val="1"/>
    <w:next w:val="1"/>
    <w:unhideWhenUsed/>
    <w:qFormat/>
    <w:uiPriority w:val="39"/>
    <w:pPr>
      <w:ind w:left="2940" w:leftChars="1400"/>
    </w:pPr>
    <w:rPr>
      <w:rFonts w:ascii="Calibri" w:hAnsi="Calibri" w:eastAsia="宋体" w:cs="Times New Roman"/>
      <w:sz w:val="21"/>
    </w:rPr>
  </w:style>
  <w:style w:type="paragraph" w:styleId="19">
    <w:name w:val="Date"/>
    <w:basedOn w:val="1"/>
    <w:next w:val="1"/>
    <w:link w:val="139"/>
    <w:qFormat/>
    <w:uiPriority w:val="0"/>
    <w:rPr>
      <w:rFonts w:ascii="Times New Roman"/>
      <w:sz w:val="28"/>
    </w:rPr>
  </w:style>
  <w:style w:type="paragraph" w:styleId="20">
    <w:name w:val="Body Text Indent 2"/>
    <w:basedOn w:val="1"/>
    <w:link w:val="103"/>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Cs w:val="20"/>
    </w:rPr>
  </w:style>
  <w:style w:type="paragraph" w:styleId="21">
    <w:name w:val="Balloon Text"/>
    <w:basedOn w:val="1"/>
    <w:link w:val="83"/>
    <w:qFormat/>
    <w:uiPriority w:val="0"/>
    <w:rPr>
      <w:sz w:val="18"/>
      <w:szCs w:val="18"/>
    </w:rPr>
  </w:style>
  <w:style w:type="paragraph" w:styleId="22">
    <w:name w:val="footer"/>
    <w:basedOn w:val="1"/>
    <w:link w:val="96"/>
    <w:qFormat/>
    <w:uiPriority w:val="99"/>
    <w:pPr>
      <w:tabs>
        <w:tab w:val="center" w:pos="4153"/>
        <w:tab w:val="right" w:pos="8306"/>
      </w:tabs>
      <w:snapToGrid w:val="0"/>
      <w:jc w:val="left"/>
    </w:pPr>
    <w:rPr>
      <w:rFonts w:eastAsia="宋体"/>
      <w:sz w:val="18"/>
      <w:szCs w:val="18"/>
    </w:rPr>
  </w:style>
  <w:style w:type="paragraph" w:styleId="23">
    <w:name w:val="header"/>
    <w:basedOn w:val="1"/>
    <w:link w:val="119"/>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rPr>
      <w:sz w:val="21"/>
      <w:szCs w:val="24"/>
    </w:rPr>
  </w:style>
  <w:style w:type="paragraph" w:styleId="25">
    <w:name w:val="toc 4"/>
    <w:basedOn w:val="1"/>
    <w:next w:val="1"/>
    <w:unhideWhenUsed/>
    <w:qFormat/>
    <w:uiPriority w:val="39"/>
    <w:pPr>
      <w:ind w:left="1260" w:leftChars="600"/>
    </w:pPr>
    <w:rPr>
      <w:rFonts w:ascii="Calibri" w:hAnsi="Calibri" w:eastAsia="宋体" w:cs="Times New Roman"/>
      <w:sz w:val="21"/>
    </w:rPr>
  </w:style>
  <w:style w:type="paragraph" w:styleId="26">
    <w:name w:val="toc 6"/>
    <w:basedOn w:val="1"/>
    <w:next w:val="1"/>
    <w:unhideWhenUsed/>
    <w:qFormat/>
    <w:uiPriority w:val="39"/>
    <w:pPr>
      <w:ind w:left="2100" w:leftChars="1000"/>
    </w:pPr>
    <w:rPr>
      <w:rFonts w:ascii="Calibri" w:hAnsi="Calibri" w:eastAsia="宋体" w:cs="Times New Roman"/>
      <w:sz w:val="21"/>
    </w:rPr>
  </w:style>
  <w:style w:type="paragraph" w:styleId="27">
    <w:name w:val="Body Text Indent 3"/>
    <w:basedOn w:val="1"/>
    <w:link w:val="10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Cs w:val="20"/>
    </w:rPr>
  </w:style>
  <w:style w:type="paragraph" w:styleId="28">
    <w:name w:val="table of figures"/>
    <w:basedOn w:val="1"/>
    <w:next w:val="1"/>
    <w:unhideWhenUsed/>
    <w:qFormat/>
    <w:uiPriority w:val="99"/>
    <w:pPr>
      <w:ind w:left="200" w:leftChars="200" w:hanging="200" w:hangingChars="200"/>
    </w:pPr>
  </w:style>
  <w:style w:type="paragraph" w:styleId="29">
    <w:name w:val="toc 2"/>
    <w:basedOn w:val="1"/>
    <w:next w:val="1"/>
    <w:qFormat/>
    <w:uiPriority w:val="39"/>
    <w:pPr>
      <w:ind w:left="420" w:leftChars="200"/>
    </w:pPr>
    <w:rPr>
      <w:sz w:val="21"/>
      <w:szCs w:val="24"/>
    </w:rPr>
  </w:style>
  <w:style w:type="paragraph" w:styleId="30">
    <w:name w:val="toc 9"/>
    <w:basedOn w:val="1"/>
    <w:next w:val="1"/>
    <w:unhideWhenUsed/>
    <w:qFormat/>
    <w:uiPriority w:val="39"/>
    <w:pPr>
      <w:ind w:left="3360" w:leftChars="1600"/>
    </w:pPr>
    <w:rPr>
      <w:rFonts w:ascii="Calibri" w:hAnsi="Calibri" w:eastAsia="宋体" w:cs="Times New Roman"/>
      <w:sz w:val="21"/>
    </w:rPr>
  </w:style>
  <w:style w:type="paragraph" w:styleId="31">
    <w:name w:val="Body Text 2"/>
    <w:basedOn w:val="1"/>
    <w:link w:val="94"/>
    <w:qFormat/>
    <w:uiPriority w:val="0"/>
    <w:pPr>
      <w:spacing w:after="120" w:line="480" w:lineRule="auto"/>
    </w:pPr>
  </w:style>
  <w:style w:type="paragraph" w:styleId="32">
    <w:name w:val="Normal (Web)"/>
    <w:basedOn w:val="1"/>
    <w:qFormat/>
    <w:uiPriority w:val="0"/>
    <w:pPr>
      <w:jc w:val="left"/>
    </w:pPr>
    <w:rPr>
      <w:rFonts w:cs="Times New Roman"/>
      <w:kern w:val="0"/>
    </w:rPr>
  </w:style>
  <w:style w:type="paragraph" w:styleId="33">
    <w:name w:val="Title"/>
    <w:basedOn w:val="1"/>
    <w:link w:val="131"/>
    <w:qFormat/>
    <w:uiPriority w:val="0"/>
    <w:pPr>
      <w:jc w:val="center"/>
    </w:pPr>
    <w:rPr>
      <w:rFonts w:ascii="Tahoma" w:hAnsi="Tahoma" w:eastAsia="宋体" w:cs="Times New Roman"/>
      <w:b/>
      <w:spacing w:val="8"/>
      <w:sz w:val="28"/>
      <w:szCs w:val="24"/>
    </w:rPr>
  </w:style>
  <w:style w:type="paragraph" w:styleId="34">
    <w:name w:val="annotation subject"/>
    <w:basedOn w:val="11"/>
    <w:next w:val="11"/>
    <w:link w:val="92"/>
    <w:qFormat/>
    <w:uiPriority w:val="0"/>
    <w:rPr>
      <w:b/>
      <w:bCs/>
    </w:rPr>
  </w:style>
  <w:style w:type="paragraph" w:styleId="35">
    <w:name w:val="Body Text First Indent"/>
    <w:basedOn w:val="13"/>
    <w:next w:val="36"/>
    <w:qFormat/>
    <w:uiPriority w:val="0"/>
    <w:pPr>
      <w:ind w:firstLine="420" w:firstLineChars="100"/>
    </w:pPr>
    <w:rPr>
      <w:rFonts w:eastAsia="仿宋_GB2312"/>
      <w:sz w:val="28"/>
    </w:rPr>
  </w:style>
  <w:style w:type="paragraph" w:styleId="36">
    <w:name w:val="Body Text First Indent 2"/>
    <w:basedOn w:val="14"/>
    <w:qFormat/>
    <w:uiPriority w:val="0"/>
    <w:pPr>
      <w:ind w:firstLine="420" w:firstLineChars="2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page number"/>
    <w:basedOn w:val="39"/>
    <w:qFormat/>
    <w:uiPriority w:val="0"/>
  </w:style>
  <w:style w:type="character" w:styleId="42">
    <w:name w:val="FollowedHyperlink"/>
    <w:basedOn w:val="39"/>
    <w:qFormat/>
    <w:uiPriority w:val="0"/>
    <w:rPr>
      <w:color w:val="333333"/>
      <w:u w:val="none"/>
    </w:rPr>
  </w:style>
  <w:style w:type="character" w:styleId="43">
    <w:name w:val="Emphasis"/>
    <w:basedOn w:val="39"/>
    <w:qFormat/>
    <w:uiPriority w:val="0"/>
  </w:style>
  <w:style w:type="character" w:styleId="44">
    <w:name w:val="HTML Definition"/>
    <w:basedOn w:val="39"/>
    <w:qFormat/>
    <w:uiPriority w:val="0"/>
  </w:style>
  <w:style w:type="character" w:styleId="45">
    <w:name w:val="HTML Typewriter"/>
    <w:basedOn w:val="39"/>
    <w:qFormat/>
    <w:uiPriority w:val="0"/>
    <w:rPr>
      <w:rFonts w:ascii="monospace" w:hAnsi="monospace" w:eastAsia="monospace" w:cs="monospace"/>
      <w:sz w:val="20"/>
    </w:rPr>
  </w:style>
  <w:style w:type="character" w:styleId="46">
    <w:name w:val="HTML Acronym"/>
    <w:basedOn w:val="39"/>
    <w:qFormat/>
    <w:uiPriority w:val="0"/>
  </w:style>
  <w:style w:type="character" w:styleId="47">
    <w:name w:val="HTML Variable"/>
    <w:basedOn w:val="39"/>
    <w:qFormat/>
    <w:uiPriority w:val="0"/>
    <w:rPr>
      <w:bdr w:val="single" w:color="BDBEC1" w:sz="6" w:space="0"/>
      <w:shd w:val="clear" w:color="auto" w:fill="FFFFFF"/>
    </w:rPr>
  </w:style>
  <w:style w:type="character" w:styleId="48">
    <w:name w:val="Hyperlink"/>
    <w:basedOn w:val="39"/>
    <w:qFormat/>
    <w:uiPriority w:val="99"/>
    <w:rPr>
      <w:rFonts w:ascii="宋体" w:hAnsi="宋体" w:eastAsia="宋体"/>
      <w:b/>
      <w:color w:val="0000FF"/>
      <w:kern w:val="2"/>
      <w:sz w:val="24"/>
      <w:szCs w:val="24"/>
      <w:u w:val="single"/>
      <w:lang w:val="en-US" w:eastAsia="zh-CN" w:bidi="ar-SA"/>
    </w:rPr>
  </w:style>
  <w:style w:type="character" w:styleId="49">
    <w:name w:val="HTML Code"/>
    <w:basedOn w:val="39"/>
    <w:qFormat/>
    <w:uiPriority w:val="0"/>
    <w:rPr>
      <w:rFonts w:hint="default" w:ascii="Menlo" w:hAnsi="Menlo" w:eastAsia="Menlo" w:cs="Menlo"/>
      <w:color w:val="C7254E"/>
      <w:sz w:val="21"/>
      <w:szCs w:val="21"/>
      <w:shd w:val="clear" w:color="auto" w:fill="F9F2F4"/>
    </w:rPr>
  </w:style>
  <w:style w:type="character" w:styleId="50">
    <w:name w:val="annotation reference"/>
    <w:basedOn w:val="39"/>
    <w:qFormat/>
    <w:uiPriority w:val="0"/>
    <w:rPr>
      <w:sz w:val="21"/>
      <w:szCs w:val="21"/>
    </w:rPr>
  </w:style>
  <w:style w:type="character" w:styleId="51">
    <w:name w:val="HTML Cite"/>
    <w:basedOn w:val="39"/>
    <w:qFormat/>
    <w:uiPriority w:val="0"/>
  </w:style>
  <w:style w:type="character" w:styleId="52">
    <w:name w:val="HTML Keyboard"/>
    <w:basedOn w:val="39"/>
    <w:qFormat/>
    <w:uiPriority w:val="0"/>
    <w:rPr>
      <w:rFonts w:ascii="Menlo" w:hAnsi="Menlo" w:eastAsia="Menlo" w:cs="Menlo"/>
      <w:color w:val="FFFFFF"/>
      <w:sz w:val="21"/>
      <w:szCs w:val="21"/>
      <w:shd w:val="clear" w:color="auto" w:fill="333333"/>
    </w:rPr>
  </w:style>
  <w:style w:type="character" w:styleId="53">
    <w:name w:val="HTML Sample"/>
    <w:basedOn w:val="39"/>
    <w:qFormat/>
    <w:uiPriority w:val="0"/>
    <w:rPr>
      <w:rFonts w:hint="default" w:ascii="Menlo" w:hAnsi="Menlo" w:eastAsia="Menlo" w:cs="Menlo"/>
      <w:sz w:val="21"/>
      <w:szCs w:val="21"/>
    </w:rPr>
  </w:style>
  <w:style w:type="paragraph" w:customStyle="1" w:styleId="54">
    <w:name w:val="4"/>
    <w:basedOn w:val="1"/>
    <w:qFormat/>
    <w:uiPriority w:val="0"/>
    <w:pPr>
      <w:spacing w:line="560" w:lineRule="exact"/>
      <w:ind w:firstLine="200" w:firstLineChars="200"/>
    </w:pPr>
    <w:rPr>
      <w:rFonts w:ascii="Calibri" w:hAnsi="Calibri"/>
      <w:spacing w:val="20"/>
      <w:szCs w:val="24"/>
    </w:rPr>
  </w:style>
  <w:style w:type="paragraph" w:customStyle="1" w:styleId="5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56">
    <w:name w:val="_Style 5"/>
    <w:basedOn w:val="2"/>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57">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58">
    <w:name w:val="p15"/>
    <w:basedOn w:val="1"/>
    <w:qFormat/>
    <w:uiPriority w:val="99"/>
    <w:pPr>
      <w:widowControl/>
    </w:pPr>
    <w:rPr>
      <w:kern w:val="0"/>
      <w:sz w:val="21"/>
      <w:szCs w:val="21"/>
    </w:rPr>
  </w:style>
  <w:style w:type="paragraph" w:customStyle="1" w:styleId="59">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60">
    <w:name w:val="old"/>
    <w:basedOn w:val="39"/>
    <w:qFormat/>
    <w:uiPriority w:val="0"/>
    <w:rPr>
      <w:color w:val="999999"/>
    </w:rPr>
  </w:style>
  <w:style w:type="character" w:customStyle="1" w:styleId="61">
    <w:name w:val="hover3"/>
    <w:basedOn w:val="39"/>
    <w:qFormat/>
    <w:uiPriority w:val="0"/>
    <w:rPr>
      <w:shd w:val="clear" w:color="auto" w:fill="EEEEEE"/>
    </w:rPr>
  </w:style>
  <w:style w:type="character" w:customStyle="1" w:styleId="62">
    <w:name w:val="glyphicon4"/>
    <w:basedOn w:val="39"/>
    <w:qFormat/>
    <w:uiPriority w:val="0"/>
  </w:style>
  <w:style w:type="character" w:customStyle="1" w:styleId="63">
    <w:name w:val="hour_am"/>
    <w:basedOn w:val="39"/>
    <w:qFormat/>
    <w:uiPriority w:val="0"/>
  </w:style>
  <w:style w:type="character" w:customStyle="1" w:styleId="64">
    <w:name w:val="hour_pm"/>
    <w:basedOn w:val="39"/>
    <w:qFormat/>
    <w:uiPriority w:val="0"/>
  </w:style>
  <w:style w:type="character" w:customStyle="1" w:styleId="65">
    <w:name w:val="button"/>
    <w:basedOn w:val="39"/>
    <w:qFormat/>
    <w:uiPriority w:val="0"/>
  </w:style>
  <w:style w:type="character" w:customStyle="1" w:styleId="66">
    <w:name w:val="tmpztreemove_arrow"/>
    <w:basedOn w:val="39"/>
    <w:qFormat/>
    <w:uiPriority w:val="0"/>
    <w:rPr>
      <w:shd w:val="clear" w:color="auto" w:fill="FFFFFF"/>
    </w:rPr>
  </w:style>
  <w:style w:type="paragraph" w:customStyle="1" w:styleId="67">
    <w:name w:val="正文文本1"/>
    <w:basedOn w:val="1"/>
    <w:unhideWhenUsed/>
    <w:qFormat/>
    <w:uiPriority w:val="0"/>
    <w:pPr>
      <w:shd w:val="clear" w:color="auto" w:fill="FFFFFF"/>
      <w:spacing w:line="240" w:lineRule="atLeast"/>
      <w:jc w:val="left"/>
    </w:pPr>
    <w:rPr>
      <w:rFonts w:ascii="Times New Roman" w:hAnsi="Times New Roman" w:eastAsia="Times New Roman"/>
      <w:kern w:val="0"/>
      <w:sz w:val="11"/>
      <w:szCs w:val="20"/>
    </w:rPr>
  </w:style>
  <w:style w:type="paragraph" w:customStyle="1" w:styleId="68">
    <w:name w:val="列出段落1"/>
    <w:basedOn w:val="1"/>
    <w:qFormat/>
    <w:uiPriority w:val="0"/>
    <w:pPr>
      <w:ind w:firstLine="420" w:firstLineChars="200"/>
    </w:pPr>
  </w:style>
  <w:style w:type="paragraph" w:customStyle="1" w:styleId="69">
    <w:name w:val="标准文本"/>
    <w:basedOn w:val="1"/>
    <w:qFormat/>
    <w:uiPriority w:val="0"/>
    <w:pPr>
      <w:widowControl/>
      <w:ind w:firstLine="480"/>
      <w:jc w:val="left"/>
    </w:pPr>
    <w:rPr>
      <w:rFonts w:ascii="Times New Roman" w:hAnsi="Times New Roman"/>
      <w:szCs w:val="20"/>
    </w:rPr>
  </w:style>
  <w:style w:type="paragraph" w:customStyle="1" w:styleId="70">
    <w:name w:val="_正文段落"/>
    <w:basedOn w:val="1"/>
    <w:qFormat/>
    <w:uiPriority w:val="0"/>
    <w:pPr>
      <w:spacing w:beforeLines="15" w:afterLines="15"/>
    </w:pPr>
    <w:rPr>
      <w:rFonts w:ascii="Times New Roman" w:hAnsi="Times New Roman"/>
      <w:szCs w:val="24"/>
    </w:rPr>
  </w:style>
  <w:style w:type="paragraph" w:customStyle="1" w:styleId="71">
    <w:name w:val="表格内容"/>
    <w:basedOn w:val="1"/>
    <w:qFormat/>
    <w:uiPriority w:val="0"/>
    <w:pPr>
      <w:jc w:val="left"/>
    </w:pPr>
  </w:style>
  <w:style w:type="character" w:customStyle="1" w:styleId="72">
    <w:name w:val="proollist"/>
    <w:basedOn w:val="39"/>
    <w:qFormat/>
    <w:uiPriority w:val="0"/>
  </w:style>
  <w:style w:type="character" w:customStyle="1" w:styleId="73">
    <w:name w:val="beforeinfotext"/>
    <w:basedOn w:val="39"/>
    <w:qFormat/>
    <w:uiPriority w:val="0"/>
    <w:rPr>
      <w:color w:val="666666"/>
    </w:rPr>
  </w:style>
  <w:style w:type="character" w:customStyle="1" w:styleId="74">
    <w:name w:val="number"/>
    <w:basedOn w:val="39"/>
    <w:qFormat/>
    <w:uiPriority w:val="0"/>
    <w:rPr>
      <w:color w:val="FF8833"/>
      <w:sz w:val="18"/>
      <w:szCs w:val="18"/>
    </w:rPr>
  </w:style>
  <w:style w:type="character" w:customStyle="1" w:styleId="75">
    <w:name w:val="stclosebtn"/>
    <w:basedOn w:val="39"/>
    <w:qFormat/>
    <w:uiPriority w:val="0"/>
  </w:style>
  <w:style w:type="character" w:customStyle="1" w:styleId="76">
    <w:name w:val="phone"/>
    <w:basedOn w:val="39"/>
    <w:qFormat/>
    <w:uiPriority w:val="0"/>
    <w:rPr>
      <w:color w:val="FF8833"/>
      <w:sz w:val="18"/>
      <w:szCs w:val="18"/>
    </w:rPr>
  </w:style>
  <w:style w:type="paragraph" w:customStyle="1" w:styleId="77">
    <w:name w:val="title11"/>
    <w:basedOn w:val="1"/>
    <w:qFormat/>
    <w:uiPriority w:val="0"/>
    <w:pPr>
      <w:spacing w:before="150"/>
      <w:jc w:val="left"/>
    </w:pPr>
    <w:rPr>
      <w:rFonts w:cs="Times New Roman"/>
      <w:b/>
      <w:kern w:val="0"/>
      <w:sz w:val="22"/>
    </w:rPr>
  </w:style>
  <w:style w:type="paragraph" w:customStyle="1" w:styleId="78">
    <w:name w:val="WPSOffice手动目录 1"/>
    <w:qFormat/>
    <w:uiPriority w:val="0"/>
    <w:rPr>
      <w:rFonts w:ascii="Times New Roman" w:hAnsi="Times New Roman" w:eastAsia="宋体" w:cs="Times New Roman"/>
      <w:lang w:val="en-US" w:eastAsia="zh-CN" w:bidi="ar-SA"/>
    </w:rPr>
  </w:style>
  <w:style w:type="paragraph" w:customStyle="1" w:styleId="79">
    <w:name w:val="xl36"/>
    <w:basedOn w:val="1"/>
    <w:qFormat/>
    <w:uiPriority w:val="0"/>
    <w:pPr>
      <w:widowControl/>
      <w:jc w:val="center"/>
    </w:pPr>
    <w:rPr>
      <w:rFonts w:hint="eastAsia" w:ascii="宋体" w:hAnsi="宋体"/>
      <w:kern w:val="0"/>
    </w:rPr>
  </w:style>
  <w:style w:type="paragraph" w:customStyle="1" w:styleId="80">
    <w:name w:val="Table Paragraph"/>
    <w:basedOn w:val="1"/>
    <w:qFormat/>
    <w:uiPriority w:val="0"/>
    <w:rPr>
      <w:rFonts w:ascii="宋体" w:hAnsi="宋体" w:eastAsia="宋体" w:cs="宋体"/>
      <w:lang w:val="zh-CN" w:bidi="zh-CN"/>
    </w:rPr>
  </w:style>
  <w:style w:type="paragraph" w:customStyle="1" w:styleId="81">
    <w:name w:val="List Paragraph1"/>
    <w:basedOn w:val="1"/>
    <w:qFormat/>
    <w:uiPriority w:val="0"/>
    <w:pPr>
      <w:ind w:firstLine="420" w:firstLineChars="200"/>
    </w:pPr>
    <w:rPr>
      <w:rFonts w:hint="eastAsia" w:ascii="宋体" w:hAnsi="Times New Roman" w:eastAsia="宋体" w:cs="Times New Roman"/>
      <w:kern w:val="0"/>
      <w:szCs w:val="20"/>
    </w:rPr>
  </w:style>
  <w:style w:type="paragraph" w:customStyle="1" w:styleId="82">
    <w:name w:val="title1"/>
    <w:basedOn w:val="1"/>
    <w:qFormat/>
    <w:uiPriority w:val="0"/>
    <w:pPr>
      <w:spacing w:before="150"/>
      <w:jc w:val="left"/>
    </w:pPr>
    <w:rPr>
      <w:rFonts w:cs="Times New Roman"/>
      <w:b/>
      <w:kern w:val="0"/>
      <w:sz w:val="22"/>
    </w:rPr>
  </w:style>
  <w:style w:type="character" w:customStyle="1" w:styleId="83">
    <w:name w:val="批注框文本 字符"/>
    <w:basedOn w:val="39"/>
    <w:link w:val="21"/>
    <w:qFormat/>
    <w:uiPriority w:val="0"/>
    <w:rPr>
      <w:rFonts w:asciiTheme="minorHAnsi" w:hAnsiTheme="minorHAnsi" w:eastAsiaTheme="minorEastAsia" w:cstheme="minorBidi"/>
      <w:kern w:val="2"/>
      <w:sz w:val="18"/>
      <w:szCs w:val="18"/>
    </w:rPr>
  </w:style>
  <w:style w:type="paragraph" w:styleId="84">
    <w:name w:val="List Paragraph"/>
    <w:basedOn w:val="1"/>
    <w:qFormat/>
    <w:uiPriority w:val="99"/>
    <w:pPr>
      <w:ind w:firstLine="420" w:firstLineChars="200"/>
    </w:pPr>
  </w:style>
  <w:style w:type="paragraph" w:customStyle="1" w:styleId="85">
    <w:name w:val="_Style 8"/>
    <w:basedOn w:val="1"/>
    <w:next w:val="1"/>
    <w:unhideWhenUsed/>
    <w:qFormat/>
    <w:uiPriority w:val="39"/>
    <w:rPr>
      <w:rFonts w:ascii="Times New Roman" w:hAnsi="Times New Roman" w:eastAsia="宋体" w:cs="Times New Roman"/>
      <w:szCs w:val="24"/>
    </w:rPr>
  </w:style>
  <w:style w:type="character" w:customStyle="1" w:styleId="86">
    <w:name w:val="font111"/>
    <w:basedOn w:val="39"/>
    <w:qFormat/>
    <w:uiPriority w:val="0"/>
    <w:rPr>
      <w:rFonts w:hint="eastAsia" w:ascii="宋体" w:hAnsi="宋体" w:eastAsia="宋体" w:cs="宋体"/>
      <w:color w:val="000000"/>
      <w:sz w:val="20"/>
      <w:szCs w:val="20"/>
      <w:u w:val="none"/>
    </w:rPr>
  </w:style>
  <w:style w:type="character" w:customStyle="1" w:styleId="87">
    <w:name w:val="font01"/>
    <w:basedOn w:val="39"/>
    <w:qFormat/>
    <w:uiPriority w:val="0"/>
    <w:rPr>
      <w:rFonts w:hint="eastAsia" w:ascii="宋体" w:hAnsi="宋体" w:eastAsia="宋体" w:cs="宋体"/>
      <w:b/>
      <w:color w:val="FF0000"/>
      <w:sz w:val="20"/>
      <w:szCs w:val="20"/>
      <w:u w:val="none"/>
    </w:rPr>
  </w:style>
  <w:style w:type="character" w:customStyle="1" w:styleId="88">
    <w:name w:val="font122"/>
    <w:basedOn w:val="39"/>
    <w:qFormat/>
    <w:uiPriority w:val="0"/>
    <w:rPr>
      <w:rFonts w:hint="eastAsia" w:ascii="宋体" w:hAnsi="宋体" w:eastAsia="宋体" w:cs="宋体"/>
      <w:color w:val="000000"/>
      <w:sz w:val="20"/>
      <w:szCs w:val="20"/>
      <w:u w:val="none"/>
    </w:rPr>
  </w:style>
  <w:style w:type="character" w:customStyle="1" w:styleId="89">
    <w:name w:val="font101"/>
    <w:basedOn w:val="39"/>
    <w:qFormat/>
    <w:uiPriority w:val="0"/>
    <w:rPr>
      <w:rFonts w:hint="eastAsia" w:ascii="宋体" w:hAnsi="宋体" w:eastAsia="宋体" w:cs="宋体"/>
      <w:color w:val="000000"/>
      <w:sz w:val="20"/>
      <w:szCs w:val="20"/>
      <w:u w:val="none"/>
    </w:rPr>
  </w:style>
  <w:style w:type="character" w:customStyle="1" w:styleId="90">
    <w:name w:val="font71"/>
    <w:basedOn w:val="39"/>
    <w:qFormat/>
    <w:uiPriority w:val="0"/>
    <w:rPr>
      <w:rFonts w:ascii="宋体" w:hAnsi="宋体" w:eastAsia="宋体" w:cs="宋体"/>
      <w:color w:val="000000"/>
      <w:sz w:val="20"/>
      <w:szCs w:val="20"/>
      <w:u w:val="none"/>
    </w:rPr>
  </w:style>
  <w:style w:type="character" w:customStyle="1" w:styleId="91">
    <w:name w:val="批注文字 字符"/>
    <w:basedOn w:val="39"/>
    <w:link w:val="11"/>
    <w:qFormat/>
    <w:uiPriority w:val="0"/>
    <w:rPr>
      <w:rFonts w:asciiTheme="minorHAnsi" w:hAnsiTheme="minorHAnsi" w:eastAsiaTheme="minorEastAsia" w:cstheme="minorBidi"/>
      <w:kern w:val="2"/>
      <w:sz w:val="24"/>
      <w:szCs w:val="22"/>
    </w:rPr>
  </w:style>
  <w:style w:type="character" w:customStyle="1" w:styleId="92">
    <w:name w:val="批注主题 字符"/>
    <w:basedOn w:val="91"/>
    <w:link w:val="34"/>
    <w:qFormat/>
    <w:uiPriority w:val="0"/>
    <w:rPr>
      <w:rFonts w:asciiTheme="minorHAnsi" w:hAnsiTheme="minorHAnsi" w:eastAsiaTheme="minorEastAsia" w:cstheme="minorBidi"/>
      <w:b/>
      <w:bCs/>
      <w:kern w:val="2"/>
      <w:sz w:val="24"/>
      <w:szCs w:val="22"/>
    </w:rPr>
  </w:style>
  <w:style w:type="character" w:customStyle="1" w:styleId="93">
    <w:name w:val="indent"/>
    <w:basedOn w:val="39"/>
    <w:qFormat/>
    <w:uiPriority w:val="0"/>
  </w:style>
  <w:style w:type="character" w:customStyle="1" w:styleId="94">
    <w:name w:val="正文文本 2 字符"/>
    <w:basedOn w:val="39"/>
    <w:link w:val="31"/>
    <w:qFormat/>
    <w:uiPriority w:val="0"/>
    <w:rPr>
      <w:rFonts w:asciiTheme="minorHAnsi" w:hAnsiTheme="minorHAnsi" w:eastAsiaTheme="minorEastAsia" w:cstheme="minorBidi"/>
      <w:kern w:val="2"/>
      <w:sz w:val="24"/>
      <w:szCs w:val="22"/>
    </w:rPr>
  </w:style>
  <w:style w:type="paragraph" w:customStyle="1" w:styleId="95">
    <w:name w:val="Char Char1 Char"/>
    <w:basedOn w:val="1"/>
    <w:qFormat/>
    <w:uiPriority w:val="0"/>
    <w:rPr>
      <w:rFonts w:ascii="Times New Roman" w:hAnsi="Times New Roman" w:eastAsia="宋体" w:cs="Times New Roman"/>
      <w:sz w:val="21"/>
      <w:szCs w:val="20"/>
    </w:rPr>
  </w:style>
  <w:style w:type="character" w:customStyle="1" w:styleId="96">
    <w:name w:val="页脚 字符"/>
    <w:basedOn w:val="39"/>
    <w:link w:val="22"/>
    <w:qFormat/>
    <w:uiPriority w:val="99"/>
    <w:rPr>
      <w:rFonts w:asciiTheme="minorHAnsi" w:hAnsiTheme="minorHAnsi" w:cstheme="minorBidi"/>
      <w:kern w:val="2"/>
      <w:sz w:val="18"/>
      <w:szCs w:val="18"/>
    </w:rPr>
  </w:style>
  <w:style w:type="character" w:customStyle="1" w:styleId="97">
    <w:name w:val="noticebidtime-bidaddress"/>
    <w:basedOn w:val="39"/>
    <w:qFormat/>
    <w:uiPriority w:val="0"/>
  </w:style>
  <w:style w:type="paragraph" w:customStyle="1" w:styleId="98">
    <w:name w:val="_Style 80"/>
    <w:basedOn w:val="1"/>
    <w:next w:val="1"/>
    <w:qFormat/>
    <w:uiPriority w:val="0"/>
    <w:pPr>
      <w:pBdr>
        <w:bottom w:val="single" w:color="auto" w:sz="6" w:space="1"/>
      </w:pBdr>
      <w:jc w:val="center"/>
    </w:pPr>
    <w:rPr>
      <w:rFonts w:ascii="Arial" w:eastAsia="宋体"/>
      <w:vanish/>
      <w:sz w:val="16"/>
    </w:rPr>
  </w:style>
  <w:style w:type="paragraph" w:customStyle="1" w:styleId="99">
    <w:name w:val="_Style 81"/>
    <w:basedOn w:val="1"/>
    <w:next w:val="1"/>
    <w:qFormat/>
    <w:uiPriority w:val="0"/>
    <w:pPr>
      <w:pBdr>
        <w:top w:val="single" w:color="auto" w:sz="6" w:space="1"/>
      </w:pBdr>
      <w:jc w:val="center"/>
    </w:pPr>
    <w:rPr>
      <w:rFonts w:ascii="Arial" w:eastAsia="宋体"/>
      <w:vanish/>
      <w:sz w:val="16"/>
    </w:rPr>
  </w:style>
  <w:style w:type="character" w:customStyle="1" w:styleId="100">
    <w:name w:val="mini-tree-nodetext3"/>
    <w:basedOn w:val="39"/>
    <w:qFormat/>
    <w:uiPriority w:val="0"/>
  </w:style>
  <w:style w:type="character" w:customStyle="1" w:styleId="101">
    <w:name w:val="MSG_EN_FONT_STYLE_NAME_TEMPLATE_ROLE_LEVEL MSG_EN_FONT_STYLE_NAME_BY_ROLE_HEADING 7 + MSG_EN_FONT_STYLE_MODIFER_SPACING 0"/>
    <w:qFormat/>
    <w:uiPriority w:val="0"/>
    <w:rPr>
      <w:rFonts w:ascii="PMingLiU" w:hAnsi="PMingLiU" w:eastAsia="PMingLiU" w:cs="PMingLiU"/>
      <w:color w:val="000000"/>
      <w:spacing w:val="0"/>
      <w:w w:val="100"/>
      <w:position w:val="0"/>
      <w:sz w:val="22"/>
      <w:szCs w:val="22"/>
      <w:u w:val="none"/>
      <w:lang w:val="zh-CN" w:eastAsia="zh-CN" w:bidi="zh-CN"/>
    </w:rPr>
  </w:style>
  <w:style w:type="character" w:customStyle="1" w:styleId="102">
    <w:name w:val="标题 5 字符"/>
    <w:basedOn w:val="39"/>
    <w:link w:val="6"/>
    <w:qFormat/>
    <w:uiPriority w:val="0"/>
    <w:rPr>
      <w:rFonts w:ascii="宋体" w:hAnsi="宋体" w:eastAsiaTheme="minorEastAsia" w:cstheme="minorBidi"/>
      <w:b/>
      <w:sz w:val="24"/>
    </w:rPr>
  </w:style>
  <w:style w:type="character" w:customStyle="1" w:styleId="103">
    <w:name w:val="正文文本缩进 2 字符"/>
    <w:basedOn w:val="39"/>
    <w:link w:val="20"/>
    <w:qFormat/>
    <w:uiPriority w:val="0"/>
    <w:rPr>
      <w:rFonts w:ascii="宋体" w:hAnsi="MS Sans Serif" w:eastAsiaTheme="minorEastAsia" w:cstheme="minorBidi"/>
      <w:spacing w:val="12"/>
      <w:sz w:val="24"/>
    </w:rPr>
  </w:style>
  <w:style w:type="character" w:customStyle="1" w:styleId="104">
    <w:name w:val="正文文本缩进 3 字符"/>
    <w:basedOn w:val="39"/>
    <w:link w:val="27"/>
    <w:qFormat/>
    <w:uiPriority w:val="0"/>
    <w:rPr>
      <w:rFonts w:ascii="宋体" w:hAnsi="MS Sans Serif" w:eastAsiaTheme="minorEastAsia" w:cstheme="minorBidi"/>
      <w:color w:val="000000"/>
      <w:sz w:val="24"/>
    </w:rPr>
  </w:style>
  <w:style w:type="paragraph" w:customStyle="1" w:styleId="105">
    <w:name w:val="目录"/>
    <w:basedOn w:val="1"/>
    <w:qFormat/>
    <w:uiPriority w:val="0"/>
    <w:pPr>
      <w:widowControl/>
      <w:jc w:val="center"/>
    </w:pPr>
    <w:rPr>
      <w:rFonts w:ascii="宋体" w:hAnsi="Times New Roman"/>
      <w:b/>
      <w:kern w:val="0"/>
      <w:sz w:val="36"/>
    </w:rPr>
  </w:style>
  <w:style w:type="character" w:customStyle="1" w:styleId="106">
    <w:name w:val="标题 1 字符"/>
    <w:link w:val="2"/>
    <w:qFormat/>
    <w:uiPriority w:val="0"/>
    <w:rPr>
      <w:rFonts w:asciiTheme="minorHAnsi" w:hAnsiTheme="minorHAnsi" w:cstheme="minorBidi"/>
      <w:b/>
      <w:bCs/>
      <w:kern w:val="44"/>
      <w:sz w:val="44"/>
      <w:szCs w:val="44"/>
    </w:rPr>
  </w:style>
  <w:style w:type="character" w:customStyle="1" w:styleId="107">
    <w:name w:val="MSG_EN_FONT_STYLE_NAME_TEMPLATE_ROLE_NUMBER MSG_EN_FONT_STYLE_NAME_BY_ROLE_TEXT 11_"/>
    <w:link w:val="108"/>
    <w:qFormat/>
    <w:uiPriority w:val="0"/>
    <w:rPr>
      <w:rFonts w:ascii="PMingLiU" w:hAnsi="PMingLiU" w:eastAsia="PMingLiU" w:cs="PMingLiU"/>
      <w:sz w:val="17"/>
      <w:szCs w:val="17"/>
      <w:shd w:val="clear" w:color="auto" w:fill="FFFFFF"/>
    </w:rPr>
  </w:style>
  <w:style w:type="paragraph" w:customStyle="1" w:styleId="108">
    <w:name w:val="MSG_EN_FONT_STYLE_NAME_TEMPLATE_ROLE_NUMBER MSG_EN_FONT_STYLE_NAME_BY_ROLE_TEXT 11"/>
    <w:basedOn w:val="1"/>
    <w:link w:val="107"/>
    <w:qFormat/>
    <w:uiPriority w:val="0"/>
    <w:pPr>
      <w:shd w:val="clear" w:color="auto" w:fill="FFFFFF"/>
      <w:spacing w:before="320" w:line="293" w:lineRule="exact"/>
      <w:ind w:hanging="220"/>
      <w:jc w:val="distribute"/>
    </w:pPr>
    <w:rPr>
      <w:rFonts w:ascii="PMingLiU" w:hAnsi="PMingLiU" w:eastAsia="PMingLiU" w:cs="PMingLiU"/>
      <w:kern w:val="0"/>
      <w:sz w:val="17"/>
      <w:szCs w:val="17"/>
    </w:rPr>
  </w:style>
  <w:style w:type="character" w:customStyle="1" w:styleId="109">
    <w:name w:val="MSG_EN_FONT_STYLE_NAME_TEMPLATE_ROLE_NUMBER MSG_EN_FONT_STYLE_NAME_BY_ROLE_TEXT 7_"/>
    <w:link w:val="110"/>
    <w:qFormat/>
    <w:uiPriority w:val="0"/>
    <w:rPr>
      <w:rFonts w:ascii="PMingLiU" w:hAnsi="PMingLiU" w:eastAsia="PMingLiU" w:cs="PMingLiU"/>
      <w:spacing w:val="20"/>
      <w:sz w:val="21"/>
      <w:szCs w:val="21"/>
      <w:shd w:val="clear" w:color="auto" w:fill="FFFFFF"/>
    </w:rPr>
  </w:style>
  <w:style w:type="paragraph" w:customStyle="1" w:styleId="110">
    <w:name w:val="MSG_EN_FONT_STYLE_NAME_TEMPLATE_ROLE_NUMBER MSG_EN_FONT_STYLE_NAME_BY_ROLE_TEXT 7"/>
    <w:basedOn w:val="1"/>
    <w:link w:val="109"/>
    <w:qFormat/>
    <w:uiPriority w:val="0"/>
    <w:pPr>
      <w:shd w:val="clear" w:color="auto" w:fill="FFFFFF"/>
      <w:spacing w:before="140" w:after="300" w:line="210" w:lineRule="exact"/>
      <w:jc w:val="center"/>
    </w:pPr>
    <w:rPr>
      <w:rFonts w:ascii="PMingLiU" w:hAnsi="PMingLiU" w:eastAsia="PMingLiU" w:cs="PMingLiU"/>
      <w:spacing w:val="20"/>
      <w:kern w:val="0"/>
      <w:sz w:val="21"/>
      <w:szCs w:val="21"/>
    </w:rPr>
  </w:style>
  <w:style w:type="character" w:customStyle="1" w:styleId="111">
    <w:name w:val="MSG_EN_FONT_STYLE_NAME_TEMPLATE_ROLE_NUMBER MSG_EN_FONT_STYLE_NAME_BY_ROLE_TEXT 2 + MSG_EN_FONT_STYLE_MODIFER_NAME Times New Roman"/>
    <w:qFormat/>
    <w:uiPriority w:val="0"/>
    <w:rPr>
      <w:rFonts w:ascii="Times New Roman" w:hAnsi="Times New Roman" w:eastAsia="Times New Roman" w:cs="Times New Roman"/>
      <w:color w:val="000000"/>
      <w:spacing w:val="0"/>
      <w:w w:val="100"/>
      <w:position w:val="0"/>
      <w:sz w:val="22"/>
      <w:szCs w:val="22"/>
      <w:u w:val="none"/>
      <w:shd w:val="clear" w:color="auto" w:fill="FFFFFF"/>
      <w:lang w:val="en-US" w:eastAsia="en-US" w:bidi="en-US"/>
    </w:rPr>
  </w:style>
  <w:style w:type="character" w:customStyle="1" w:styleId="112">
    <w:name w:val="页脚 Char"/>
    <w:qFormat/>
    <w:locked/>
    <w:uiPriority w:val="99"/>
    <w:rPr>
      <w:rFonts w:eastAsia="宋体"/>
      <w:kern w:val="2"/>
      <w:sz w:val="18"/>
      <w:szCs w:val="18"/>
      <w:lang w:val="en-US" w:eastAsia="zh-CN" w:bidi="ar-SA"/>
    </w:rPr>
  </w:style>
  <w:style w:type="character" w:customStyle="1" w:styleId="113">
    <w:name w:val="MSG_EN_FONT_STYLE_NAME_TEMPLATE_ROLE_LEVEL MSG_EN_FONT_STYLE_NAME_BY_ROLE_HEADING 7_"/>
    <w:link w:val="114"/>
    <w:qFormat/>
    <w:uiPriority w:val="0"/>
    <w:rPr>
      <w:rFonts w:ascii="PMingLiU" w:hAnsi="PMingLiU" w:eastAsia="PMingLiU" w:cs="PMingLiU"/>
      <w:spacing w:val="20"/>
      <w:sz w:val="22"/>
      <w:szCs w:val="22"/>
      <w:shd w:val="clear" w:color="auto" w:fill="FFFFFF"/>
    </w:rPr>
  </w:style>
  <w:style w:type="paragraph" w:customStyle="1" w:styleId="114">
    <w:name w:val="MSG_EN_FONT_STYLE_NAME_TEMPLATE_ROLE_LEVEL MSG_EN_FONT_STYLE_NAME_BY_ROLE_HEADING 7"/>
    <w:basedOn w:val="1"/>
    <w:link w:val="113"/>
    <w:qFormat/>
    <w:uiPriority w:val="0"/>
    <w:pPr>
      <w:shd w:val="clear" w:color="auto" w:fill="FFFFFF"/>
      <w:spacing w:line="562" w:lineRule="exact"/>
      <w:jc w:val="left"/>
      <w:outlineLvl w:val="6"/>
    </w:pPr>
    <w:rPr>
      <w:rFonts w:ascii="PMingLiU" w:hAnsi="PMingLiU" w:eastAsia="PMingLiU" w:cs="PMingLiU"/>
      <w:spacing w:val="20"/>
      <w:kern w:val="0"/>
      <w:sz w:val="22"/>
    </w:rPr>
  </w:style>
  <w:style w:type="character" w:customStyle="1" w:styleId="115">
    <w:name w:val="正文文本 字符"/>
    <w:link w:val="13"/>
    <w:qFormat/>
    <w:locked/>
    <w:uiPriority w:val="0"/>
    <w:rPr>
      <w:rFonts w:asciiTheme="minorHAnsi" w:hAnsiTheme="minorHAnsi" w:eastAsiaTheme="minorEastAsia" w:cstheme="minorBidi"/>
      <w:kern w:val="2"/>
      <w:sz w:val="24"/>
      <w:szCs w:val="22"/>
    </w:rPr>
  </w:style>
  <w:style w:type="character" w:customStyle="1" w:styleId="116">
    <w:name w:val="MSG_EN_FONT_STYLE_NAME_TEMPLATE_ROLE_NUMBER MSG_EN_FONT_STYLE_NAME_BY_ROLE_TEXT 2 + MSG_EN_FONT_STYLE_MODIFER_NAME SimSun"/>
    <w:qFormat/>
    <w:uiPriority w:val="0"/>
    <w:rPr>
      <w:rFonts w:ascii="宋体" w:hAnsi="宋体" w:eastAsia="宋体" w:cs="宋体"/>
      <w:color w:val="000000"/>
      <w:spacing w:val="0"/>
      <w:w w:val="100"/>
      <w:position w:val="0"/>
      <w:sz w:val="22"/>
      <w:szCs w:val="22"/>
      <w:u w:val="none"/>
      <w:shd w:val="clear" w:color="auto" w:fill="FFFFFF"/>
      <w:lang w:val="zh-CN" w:eastAsia="zh-CN" w:bidi="zh-CN"/>
    </w:rPr>
  </w:style>
  <w:style w:type="character" w:customStyle="1" w:styleId="117">
    <w:name w:val="MSG_EN_FONT_STYLE_NAME_TEMPLATE_ROLE_NUMBER MSG_EN_FONT_STYLE_NAME_BY_ROLE_TEXT 2_"/>
    <w:link w:val="118"/>
    <w:qFormat/>
    <w:uiPriority w:val="0"/>
    <w:rPr>
      <w:rFonts w:ascii="PMingLiU" w:hAnsi="PMingLiU" w:eastAsia="PMingLiU" w:cs="PMingLiU"/>
      <w:sz w:val="22"/>
      <w:szCs w:val="22"/>
      <w:shd w:val="clear" w:color="auto" w:fill="FFFFFF"/>
    </w:rPr>
  </w:style>
  <w:style w:type="paragraph" w:customStyle="1" w:styleId="118">
    <w:name w:val="MSG_EN_FONT_STYLE_NAME_TEMPLATE_ROLE_NUMBER MSG_EN_FONT_STYLE_NAME_BY_ROLE_TEXT 2"/>
    <w:basedOn w:val="1"/>
    <w:link w:val="117"/>
    <w:qFormat/>
    <w:uiPriority w:val="0"/>
    <w:pPr>
      <w:shd w:val="clear" w:color="auto" w:fill="FFFFFF"/>
      <w:spacing w:before="300" w:line="451" w:lineRule="exact"/>
      <w:jc w:val="distribute"/>
    </w:pPr>
    <w:rPr>
      <w:rFonts w:ascii="PMingLiU" w:hAnsi="PMingLiU" w:eastAsia="PMingLiU" w:cs="PMingLiU"/>
      <w:kern w:val="0"/>
      <w:sz w:val="22"/>
    </w:rPr>
  </w:style>
  <w:style w:type="character" w:customStyle="1" w:styleId="119">
    <w:name w:val="页眉 字符"/>
    <w:link w:val="23"/>
    <w:qFormat/>
    <w:locked/>
    <w:uiPriority w:val="0"/>
    <w:rPr>
      <w:rFonts w:asciiTheme="minorHAnsi" w:hAnsiTheme="minorHAnsi" w:eastAsiaTheme="minorEastAsia" w:cstheme="minorBidi"/>
      <w:kern w:val="2"/>
      <w:sz w:val="18"/>
      <w:szCs w:val="18"/>
    </w:rPr>
  </w:style>
  <w:style w:type="character" w:customStyle="1" w:styleId="120">
    <w:name w:val="标题 3 字符"/>
    <w:link w:val="4"/>
    <w:qFormat/>
    <w:locked/>
    <w:uiPriority w:val="0"/>
    <w:rPr>
      <w:rFonts w:eastAsiaTheme="minorEastAsia" w:cstheme="minorBidi"/>
      <w:b/>
      <w:bCs/>
      <w:kern w:val="2"/>
      <w:sz w:val="32"/>
      <w:szCs w:val="32"/>
    </w:rPr>
  </w:style>
  <w:style w:type="character" w:customStyle="1" w:styleId="121">
    <w:name w:val="MSG_EN_FONT_STYLE_NAME_TEMPLATE_ROLE_LEVEL_NUMBER MSG_EN_FONT_STYLE_NAME_BY_ROLE_HEADING 6 2_"/>
    <w:link w:val="122"/>
    <w:qFormat/>
    <w:uiPriority w:val="0"/>
    <w:rPr>
      <w:rFonts w:ascii="PMingLiU" w:hAnsi="PMingLiU" w:eastAsia="PMingLiU" w:cs="PMingLiU"/>
      <w:sz w:val="22"/>
      <w:szCs w:val="22"/>
      <w:shd w:val="clear" w:color="auto" w:fill="FFFFFF"/>
    </w:rPr>
  </w:style>
  <w:style w:type="paragraph" w:customStyle="1" w:styleId="122">
    <w:name w:val="MSG_EN_FONT_STYLE_NAME_TEMPLATE_ROLE_LEVEL_NUMBER MSG_EN_FONT_STYLE_NAME_BY_ROLE_HEADING 6 2"/>
    <w:basedOn w:val="1"/>
    <w:link w:val="121"/>
    <w:qFormat/>
    <w:uiPriority w:val="0"/>
    <w:pPr>
      <w:shd w:val="clear" w:color="auto" w:fill="FFFFFF"/>
      <w:spacing w:before="420" w:after="620" w:line="220" w:lineRule="exact"/>
      <w:jc w:val="distribute"/>
      <w:outlineLvl w:val="5"/>
    </w:pPr>
    <w:rPr>
      <w:rFonts w:ascii="PMingLiU" w:hAnsi="PMingLiU" w:eastAsia="PMingLiU" w:cs="PMingLiU"/>
      <w:kern w:val="0"/>
      <w:sz w:val="22"/>
    </w:rPr>
  </w:style>
  <w:style w:type="character" w:customStyle="1" w:styleId="123">
    <w:name w:val="正文文本 3 字符1"/>
    <w:link w:val="12"/>
    <w:qFormat/>
    <w:locked/>
    <w:uiPriority w:val="0"/>
    <w:rPr>
      <w:rFonts w:ascii="宋体"/>
      <w:sz w:val="24"/>
    </w:rPr>
  </w:style>
  <w:style w:type="character" w:customStyle="1" w:styleId="124">
    <w:name w:val="font21"/>
    <w:qFormat/>
    <w:uiPriority w:val="0"/>
    <w:rPr>
      <w:rFonts w:ascii="宋体" w:hAnsi="宋体" w:eastAsia="宋体" w:cs="宋体"/>
      <w:color w:val="000000"/>
      <w:sz w:val="22"/>
      <w:szCs w:val="22"/>
      <w:u w:val="none"/>
    </w:rPr>
  </w:style>
  <w:style w:type="character" w:customStyle="1" w:styleId="125">
    <w:name w:val="MSG_EN_FONT_STYLE_NAME_TEMPLATE_ROLE_NUMBER MSG_EN_FONT_STYLE_NAME_BY_ROLE_TEXT 7 + MSG_EN_FONT_STYLE_MODIFER_NAME Arial"/>
    <w:qFormat/>
    <w:uiPriority w:val="0"/>
    <w:rPr>
      <w:rFonts w:ascii="Arial" w:hAnsi="Arial" w:eastAsia="Arial" w:cs="Arial"/>
      <w:color w:val="000000"/>
      <w:spacing w:val="0"/>
      <w:w w:val="100"/>
      <w:position w:val="0"/>
      <w:sz w:val="24"/>
      <w:szCs w:val="24"/>
      <w:u w:val="none"/>
      <w:lang w:val="en-US" w:eastAsia="en-US" w:bidi="en-US"/>
    </w:rPr>
  </w:style>
  <w:style w:type="character" w:customStyle="1" w:styleId="126">
    <w:name w:val="MSG_EN_FONT_STYLE_NAME_TEMPLATE_ROLE_NUMBER MSG_EN_FONT_STYLE_NAME_BY_ROLE_TEXT 2 + MSG_EN_FONT_STYLE_MODIFER_SIZE 21"/>
    <w:qFormat/>
    <w:uiPriority w:val="0"/>
    <w:rPr>
      <w:rFonts w:ascii="PMingLiU" w:hAnsi="PMingLiU" w:eastAsia="PMingLiU" w:cs="PMingLiU"/>
      <w:color w:val="000000"/>
      <w:spacing w:val="0"/>
      <w:w w:val="100"/>
      <w:position w:val="0"/>
      <w:sz w:val="42"/>
      <w:szCs w:val="42"/>
      <w:u w:val="none"/>
      <w:shd w:val="clear" w:color="auto" w:fill="FFFFFF"/>
      <w:lang w:val="zh-CN" w:eastAsia="zh-CN" w:bidi="zh-CN"/>
    </w:rPr>
  </w:style>
  <w:style w:type="character" w:customStyle="1" w:styleId="127">
    <w:name w:val="MSG_EN_FONT_STYLE_NAME_TEMPLATE_ROLE_NUMBER MSG_EN_FONT_STYLE_NAME_BY_ROLE_TEXT 2 + MSG_EN_FONT_STYLE_MODIFER_SIZE 10.5"/>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28">
    <w:name w:val="批注框文本 Char"/>
    <w:qFormat/>
    <w:locked/>
    <w:uiPriority w:val="0"/>
    <w:rPr>
      <w:rFonts w:eastAsia="宋体"/>
      <w:kern w:val="2"/>
      <w:sz w:val="18"/>
      <w:szCs w:val="18"/>
      <w:lang w:val="en-US" w:eastAsia="zh-CN" w:bidi="ar-SA"/>
    </w:rPr>
  </w:style>
  <w:style w:type="character" w:customStyle="1" w:styleId="129">
    <w:name w:val="font31"/>
    <w:qFormat/>
    <w:uiPriority w:val="0"/>
    <w:rPr>
      <w:rFonts w:ascii="font-weight : 400" w:hAnsi="font-weight : 400" w:cs="font-weight : 400"/>
      <w:color w:val="000000"/>
      <w:sz w:val="22"/>
      <w:szCs w:val="22"/>
      <w:u w:val="none"/>
    </w:rPr>
  </w:style>
  <w:style w:type="character" w:customStyle="1" w:styleId="130">
    <w:name w:val="标题 1 Char"/>
    <w:qFormat/>
    <w:locked/>
    <w:uiPriority w:val="0"/>
    <w:rPr>
      <w:rFonts w:eastAsia="宋体"/>
      <w:b/>
      <w:bCs/>
      <w:kern w:val="44"/>
      <w:sz w:val="44"/>
      <w:szCs w:val="44"/>
      <w:lang w:val="en-US" w:eastAsia="zh-CN" w:bidi="ar-SA"/>
    </w:rPr>
  </w:style>
  <w:style w:type="character" w:customStyle="1" w:styleId="131">
    <w:name w:val="标题 字符1"/>
    <w:link w:val="33"/>
    <w:qFormat/>
    <w:locked/>
    <w:uiPriority w:val="0"/>
    <w:rPr>
      <w:rFonts w:ascii="Tahoma" w:hAnsi="Tahoma"/>
      <w:b/>
      <w:spacing w:val="8"/>
      <w:kern w:val="2"/>
      <w:sz w:val="28"/>
      <w:szCs w:val="24"/>
    </w:rPr>
  </w:style>
  <w:style w:type="character" w:customStyle="1" w:styleId="132">
    <w:name w:val="MSG_EN_FONT_STYLE_NAME_TEMPLATE_ROLE_NUMBER MSG_EN_FONT_STYLE_NAME_BY_ROLE_TEXT 7 + MSG_EN_FONT_STYLE_MODIFER_SPACING 0"/>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33">
    <w:name w:val="标题 2 字符"/>
    <w:link w:val="3"/>
    <w:qFormat/>
    <w:locked/>
    <w:uiPriority w:val="0"/>
    <w:rPr>
      <w:rFonts w:ascii="Arial" w:hAnsi="Arial" w:eastAsia="黑体" w:cstheme="minorBidi"/>
      <w:b/>
      <w:bCs/>
      <w:kern w:val="2"/>
      <w:sz w:val="32"/>
      <w:szCs w:val="32"/>
    </w:rPr>
  </w:style>
  <w:style w:type="character" w:customStyle="1" w:styleId="134">
    <w:name w:val="正文文本 3 字符"/>
    <w:basedOn w:val="39"/>
    <w:qFormat/>
    <w:uiPriority w:val="0"/>
    <w:rPr>
      <w:rFonts w:asciiTheme="minorHAnsi" w:hAnsiTheme="minorHAnsi" w:eastAsiaTheme="minorEastAsia" w:cstheme="minorBidi"/>
      <w:kern w:val="2"/>
      <w:sz w:val="16"/>
      <w:szCs w:val="16"/>
    </w:rPr>
  </w:style>
  <w:style w:type="paragraph" w:styleId="135">
    <w:name w:val="No Spacing"/>
    <w:qFormat/>
    <w:uiPriority w:val="1"/>
    <w:pPr>
      <w:widowControl w:val="0"/>
    </w:pPr>
    <w:rPr>
      <w:rFonts w:ascii="Times New Roman" w:hAnsi="Times New Roman" w:eastAsia="Times New Roman" w:cs="Times New Roman"/>
      <w:color w:val="000000"/>
      <w:sz w:val="24"/>
      <w:szCs w:val="24"/>
      <w:lang w:val="zh-CN" w:eastAsia="zh-CN" w:bidi="zh-CN"/>
    </w:rPr>
  </w:style>
  <w:style w:type="paragraph" w:customStyle="1" w:styleId="136">
    <w:name w:val="无间隔1"/>
    <w:qFormat/>
    <w:uiPriority w:val="0"/>
    <w:pPr>
      <w:widowControl w:val="0"/>
    </w:pPr>
    <w:rPr>
      <w:rFonts w:ascii="Times New Roman" w:hAnsi="Times New Roman" w:eastAsia="宋体" w:cs="Times New Roman"/>
      <w:color w:val="000000"/>
      <w:sz w:val="24"/>
      <w:szCs w:val="24"/>
      <w:lang w:val="zh-CN" w:eastAsia="zh-CN" w:bidi="ar-SA"/>
    </w:rPr>
  </w:style>
  <w:style w:type="character" w:customStyle="1" w:styleId="137">
    <w:name w:val="标题 字符"/>
    <w:basedOn w:val="39"/>
    <w:qFormat/>
    <w:uiPriority w:val="0"/>
    <w:rPr>
      <w:rFonts w:asciiTheme="majorHAnsi" w:hAnsiTheme="majorHAnsi" w:eastAsiaTheme="majorEastAsia" w:cstheme="majorBidi"/>
      <w:b/>
      <w:bCs/>
      <w:kern w:val="2"/>
      <w:sz w:val="32"/>
      <w:szCs w:val="32"/>
    </w:rPr>
  </w:style>
  <w:style w:type="paragraph" w:customStyle="1" w:styleId="138">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szCs w:val="22"/>
      <w:lang w:val="en-US" w:eastAsia="zh-CN" w:bidi="ar-SA"/>
    </w:rPr>
  </w:style>
  <w:style w:type="character" w:customStyle="1" w:styleId="139">
    <w:name w:val="日期 字符"/>
    <w:basedOn w:val="39"/>
    <w:link w:val="19"/>
    <w:qFormat/>
    <w:uiPriority w:val="0"/>
    <w:rPr>
      <w:rFonts w:hAnsiTheme="minorHAnsi" w:eastAsiaTheme="minorEastAsia" w:cstheme="minorBidi"/>
      <w:kern w:val="2"/>
      <w:sz w:val="28"/>
      <w:szCs w:val="22"/>
    </w:rPr>
  </w:style>
  <w:style w:type="character" w:customStyle="1" w:styleId="140">
    <w:name w:val="font11"/>
    <w:basedOn w:val="39"/>
    <w:qFormat/>
    <w:uiPriority w:val="0"/>
    <w:rPr>
      <w:rFonts w:hint="default" w:ascii="Calibri" w:hAnsi="Calibri" w:cs="Calibri"/>
      <w:color w:val="000000"/>
      <w:sz w:val="24"/>
      <w:szCs w:val="24"/>
      <w:u w:val="none"/>
    </w:rPr>
  </w:style>
  <w:style w:type="character" w:customStyle="1" w:styleId="141">
    <w:name w:val="font41"/>
    <w:basedOn w:val="39"/>
    <w:qFormat/>
    <w:uiPriority w:val="0"/>
    <w:rPr>
      <w:rFonts w:hint="eastAsia" w:ascii="宋体" w:hAnsi="宋体" w:eastAsia="宋体" w:cs="宋体"/>
      <w:color w:val="000000"/>
      <w:sz w:val="24"/>
      <w:szCs w:val="24"/>
      <w:u w:val="none"/>
    </w:rPr>
  </w:style>
  <w:style w:type="character" w:customStyle="1" w:styleId="142">
    <w:name w:val="mini-outputtext1"/>
    <w:basedOn w:val="39"/>
    <w:qFormat/>
    <w:uiPriority w:val="0"/>
  </w:style>
  <w:style w:type="paragraph" w:customStyle="1" w:styleId="143">
    <w:name w:val="u-content"/>
    <w:basedOn w:val="1"/>
    <w:qFormat/>
    <w:uiPriority w:val="0"/>
    <w:pPr>
      <w:widowControl/>
      <w:spacing w:before="100" w:beforeAutospacing="1" w:after="100" w:afterAutospacing="1"/>
      <w:jc w:val="left"/>
    </w:pPr>
    <w:rPr>
      <w:rFonts w:ascii="宋体" w:hAnsi="宋体" w:eastAsia="宋体" w:cs="宋体"/>
      <w:kern w:val="0"/>
      <w:sz w:val="24"/>
    </w:rPr>
  </w:style>
  <w:style w:type="table" w:customStyle="1" w:styleId="144">
    <w:name w:val="Table Normal"/>
    <w:semiHidden/>
    <w:unhideWhenUsed/>
    <w:qFormat/>
    <w:uiPriority w:val="0"/>
    <w:tblPr>
      <w:tblCellMar>
        <w:top w:w="0" w:type="dxa"/>
        <w:left w:w="0" w:type="dxa"/>
        <w:bottom w:w="0" w:type="dxa"/>
        <w:right w:w="0" w:type="dxa"/>
      </w:tblCellMar>
    </w:tblPr>
  </w:style>
  <w:style w:type="paragraph" w:customStyle="1" w:styleId="145">
    <w:name w:val="Table Text"/>
    <w:basedOn w:val="1"/>
    <w:semiHidden/>
    <w:qFormat/>
    <w:uiPriority w:val="0"/>
    <w:rPr>
      <w:rFonts w:ascii="宋体" w:hAnsi="宋体" w:eastAsia="宋体" w:cs="宋体"/>
      <w:sz w:val="28"/>
      <w:szCs w:val="28"/>
      <w:lang w:val="en-US" w:eastAsia="en-US" w:bidi="ar-SA"/>
    </w:rPr>
  </w:style>
  <w:style w:type="paragraph" w:customStyle="1" w:styleId="146">
    <w:name w:val="列出段落4"/>
    <w:basedOn w:val="1"/>
    <w:qFormat/>
    <w:uiPriority w:val="34"/>
    <w:pPr>
      <w:ind w:firstLine="420" w:firstLineChars="200"/>
    </w:pPr>
  </w:style>
  <w:style w:type="paragraph" w:customStyle="1" w:styleId="14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7B87C-0AF8-42D2-BA89-27291016352E}">
  <ds:schemaRefs/>
</ds:datastoreItem>
</file>

<file path=docProps/app.xml><?xml version="1.0" encoding="utf-8"?>
<Properties xmlns="http://schemas.openxmlformats.org/officeDocument/2006/extended-properties" xmlns:vt="http://schemas.openxmlformats.org/officeDocument/2006/docPropsVTypes">
  <Template>0</Template>
  <Company>DoubleOX</Company>
  <Pages>76</Pages>
  <Words>1306</Words>
  <Characters>1522</Characters>
  <Lines>281</Lines>
  <Paragraphs>79</Paragraphs>
  <TotalTime>2</TotalTime>
  <ScaleCrop>false</ScaleCrop>
  <LinksUpToDate>false</LinksUpToDate>
  <CharactersWithSpaces>1542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2023-09-18T01:52:00Z</dcterms:created>
  <dc:creator>Administrator</dc:creator>
  <cp:lastModifiedBy>布里</cp:lastModifiedBy>
  <cp:lastPrinted>2025-12-23T02:17:00Z</cp:lastPrinted>
  <dcterms:modified xsi:type="dcterms:W3CDTF">2026-04-29T02:33:57Z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0C6114DE0D804DDABE8D1D5CE82C87DC_13</vt:lpwstr>
  </property>
  <property fmtid="{D5CDD505-2E9C-101B-9397-08002B2CF9AE}" pid="4" name="KSOTemplateDocerSaveRecord">
    <vt:lpwstr>eyJoZGlkIjoiZGJhN2YyMWQ1Yjk2ZWRmMWNkODg5ODkyOGVjOWViZDAiLCJ1c2VySWQiOiIxMjEwNDQ2MTg0In0=</vt:lpwstr>
  </property>
</Properties>
</file>